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宋体" w:hAnsi="宋体" w:eastAsia="宋体" w:cs="宋体"/>
          <w:b/>
          <w:color w:val="000000"/>
          <w:sz w:val="72"/>
        </w:rPr>
      </w:pPr>
    </w:p>
    <w:p>
      <w:pPr>
        <w:jc w:val="center"/>
        <w:rPr>
          <w:rFonts w:ascii="宋体" w:hAnsi="宋体" w:eastAsia="宋体" w:cs="宋体"/>
          <w:b/>
          <w:color w:val="000000"/>
          <w:sz w:val="72"/>
        </w:rPr>
      </w:pPr>
      <w:r>
        <w:rPr>
          <w:rFonts w:hint="eastAsia" w:ascii="宋体" w:hAnsi="宋体" w:eastAsia="宋体" w:cs="宋体"/>
          <w:b/>
          <w:color w:val="000000"/>
          <w:sz w:val="72"/>
        </w:rPr>
        <w:t>2022年唐山市部门绩效</w:t>
      </w:r>
    </w:p>
    <w:p>
      <w:pPr>
        <w:jc w:val="center"/>
        <w:rPr>
          <w:rFonts w:ascii="宋体" w:hAnsi="宋体" w:eastAsia="宋体" w:cs="宋体"/>
          <w:b/>
          <w:color w:val="000000"/>
          <w:sz w:val="72"/>
        </w:rPr>
      </w:pPr>
    </w:p>
    <w:p>
      <w:pPr>
        <w:jc w:val="center"/>
        <w:rPr>
          <w:rFonts w:ascii="楷体" w:hAnsi="楷体" w:eastAsia="楷体" w:cs="楷体"/>
          <w:b/>
          <w:color w:val="000000"/>
          <w:sz w:val="52"/>
        </w:rPr>
      </w:pPr>
      <w:r>
        <w:rPr>
          <w:rFonts w:hint="eastAsia" w:ascii="楷体" w:hAnsi="楷体" w:eastAsia="楷体" w:cs="楷体"/>
          <w:b/>
          <w:color w:val="000000"/>
          <w:sz w:val="52"/>
        </w:rPr>
        <w:t>唐山市交通运输局</w:t>
      </w: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r>
        <w:rPr>
          <w:rFonts w:hint="eastAsia" w:ascii="楷体" w:hAnsi="楷体" w:eastAsia="楷体" w:cs="楷体"/>
          <w:b/>
          <w:color w:val="000000"/>
          <w:sz w:val="52"/>
        </w:rPr>
        <w:t>唐山市交通运输局编制</w:t>
      </w:r>
    </w:p>
    <w:p>
      <w:pPr>
        <w:jc w:val="center"/>
        <w:rPr>
          <w:rFonts w:hint="eastAsia" w:ascii="楷体" w:hAnsi="楷体" w:eastAsia="楷体" w:cs="楷体"/>
          <w:b/>
          <w:color w:val="000000"/>
          <w:sz w:val="52"/>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b/>
          <w:color w:val="000000"/>
          <w:sz w:val="52"/>
        </w:rPr>
        <w:t>唐山市财政局审核</w:t>
      </w:r>
    </w:p>
    <w:p>
      <w:pPr>
        <w:jc w:val="center"/>
        <w:rPr>
          <w:rFonts w:hint="eastAsia" w:ascii="楷体" w:hAnsi="楷体" w:eastAsia="楷体" w:cs="楷体"/>
          <w:b/>
          <w:color w:val="000000"/>
          <w:sz w:val="52"/>
        </w:rPr>
        <w:sectPr>
          <w:pgSz w:w="11906" w:h="16838"/>
          <w:pgMar w:top="1440" w:right="1800" w:bottom="1440" w:left="1800" w:header="851" w:footer="992" w:gutter="0"/>
          <w:cols w:space="425" w:num="1"/>
          <w:docGrid w:type="lines" w:linePitch="312" w:charSpace="0"/>
        </w:sectPr>
      </w:pPr>
    </w:p>
    <w:p>
      <w:pPr>
        <w:jc w:val="center"/>
        <w:rPr>
          <w:rFonts w:ascii="楷体" w:hAnsi="楷体" w:eastAsia="楷体" w:cs="楷体"/>
          <w:b/>
          <w:color w:val="000000"/>
          <w:sz w:val="52"/>
        </w:rPr>
      </w:pPr>
      <w:r>
        <w:rPr>
          <w:rFonts w:hint="eastAsia" w:ascii="宋体" w:hAnsi="宋体" w:eastAsia="宋体" w:cs="宋体"/>
          <w:b/>
          <w:color w:val="000000"/>
          <w:sz w:val="32"/>
        </w:rPr>
        <w:t>目 录</w:t>
      </w:r>
    </w:p>
    <w:p>
      <w:pPr>
        <w:pStyle w:val="8"/>
        <w:tabs>
          <w:tab w:val="right" w:leader="dot" w:pos="8306"/>
        </w:tabs>
        <w:rPr>
          <w:rFonts w:hint="eastAsia" w:asciiTheme="minorEastAsia" w:hAnsiTheme="minorEastAsia" w:eastAsiaTheme="minorEastAsia"/>
          <w:sz w:val="30"/>
          <w:szCs w:val="30"/>
          <w:lang w:val="en-US" w:eastAsia="zh-CN"/>
        </w:rPr>
      </w:pPr>
      <w:r>
        <w:rPr>
          <w:rFonts w:hint="eastAsia" w:cs="楷体" w:asciiTheme="minorEastAsia" w:hAnsiTheme="minorEastAsia"/>
          <w:b/>
          <w:color w:val="000000"/>
          <w:sz w:val="30"/>
          <w:szCs w:val="30"/>
        </w:rPr>
        <w:fldChar w:fldCharType="begin"/>
      </w:r>
      <w:r>
        <w:rPr>
          <w:rFonts w:hint="eastAsia" w:cs="楷体" w:asciiTheme="minorEastAsia" w:hAnsiTheme="minorEastAsia"/>
          <w:b/>
          <w:color w:val="000000"/>
          <w:sz w:val="30"/>
          <w:szCs w:val="30"/>
        </w:rPr>
        <w:instrText xml:space="preserve">TOC \o "1-3" \h \u </w:instrText>
      </w:r>
      <w:r>
        <w:rPr>
          <w:rFonts w:hint="eastAsia" w:cs="楷体" w:asciiTheme="minorEastAsia" w:hAnsiTheme="minorEastAsia"/>
          <w:b/>
          <w:color w:val="000000"/>
          <w:sz w:val="30"/>
          <w:szCs w:val="30"/>
        </w:rPr>
        <w:fldChar w:fldCharType="separate"/>
      </w:r>
      <w:r>
        <w:fldChar w:fldCharType="begin"/>
      </w:r>
      <w:r>
        <w:instrText xml:space="preserve"> HYPERLINK \l "_Toc21520" </w:instrText>
      </w:r>
      <w:r>
        <w:fldChar w:fldCharType="separate"/>
      </w:r>
      <w:r>
        <w:rPr>
          <w:rFonts w:hint="eastAsia" w:asciiTheme="minorEastAsia" w:hAnsiTheme="minorEastAsia"/>
          <w:sz w:val="30"/>
          <w:szCs w:val="30"/>
        </w:rPr>
        <w:t>第一部分  2022年</w:t>
      </w:r>
      <w:r>
        <w:rPr>
          <w:rFonts w:asciiTheme="minorEastAsia" w:hAnsiTheme="minorEastAsia"/>
          <w:sz w:val="30"/>
          <w:szCs w:val="30"/>
        </w:rPr>
        <w:t>部门整体</w:t>
      </w:r>
      <w:r>
        <w:rPr>
          <w:rFonts w:hint="eastAsia" w:asciiTheme="minorEastAsia" w:hAnsiTheme="minorEastAsia"/>
          <w:sz w:val="30"/>
          <w:szCs w:val="30"/>
        </w:rPr>
        <w:t>绩效</w:t>
      </w:r>
      <w:r>
        <w:rPr>
          <w:rFonts w:asciiTheme="minorEastAsia" w:hAnsiTheme="minorEastAsia"/>
          <w:sz w:val="30"/>
          <w:szCs w:val="30"/>
        </w:rPr>
        <w:t>目标</w:t>
      </w:r>
      <w:r>
        <w:rPr>
          <w:rFonts w:asciiTheme="minorEastAsia" w:hAnsiTheme="minorEastAsia"/>
          <w:sz w:val="30"/>
          <w:szCs w:val="30"/>
        </w:rPr>
        <w:fldChar w:fldCharType="end"/>
      </w:r>
      <w:r>
        <w:rPr>
          <w:rFonts w:asciiTheme="minorEastAsia" w:hAnsiTheme="minorEastAsia"/>
          <w:sz w:val="30"/>
          <w:szCs w:val="30"/>
        </w:rPr>
        <w:tab/>
      </w:r>
      <w:r>
        <w:rPr>
          <w:rFonts w:hint="eastAsia" w:asciiTheme="minorEastAsia" w:hAnsiTheme="minorEastAsia"/>
          <w:sz w:val="30"/>
          <w:szCs w:val="30"/>
          <w:lang w:val="en-US" w:eastAsia="zh-CN"/>
        </w:rPr>
        <w:t>1</w:t>
      </w:r>
    </w:p>
    <w:p>
      <w:pPr>
        <w:pStyle w:val="8"/>
        <w:tabs>
          <w:tab w:val="right" w:leader="dot" w:pos="8306"/>
        </w:tabs>
        <w:rPr>
          <w:rFonts w:asciiTheme="minorEastAsia" w:hAnsiTheme="minorEastAsia"/>
          <w:sz w:val="30"/>
          <w:szCs w:val="30"/>
        </w:rPr>
      </w:pPr>
      <w:r>
        <w:fldChar w:fldCharType="begin"/>
      </w:r>
      <w:r>
        <w:instrText xml:space="preserve"> HYPERLINK \l "_Toc17849" </w:instrText>
      </w:r>
      <w:r>
        <w:fldChar w:fldCharType="separate"/>
      </w:r>
      <w:r>
        <w:rPr>
          <w:rFonts w:hint="eastAsia" w:cs="宋体" w:asciiTheme="minorEastAsia" w:hAnsiTheme="minorEastAsia"/>
          <w:color w:val="000000"/>
          <w:sz w:val="30"/>
          <w:szCs w:val="30"/>
        </w:rPr>
        <w:t>第二</w:t>
      </w:r>
      <w:r>
        <w:rPr>
          <w:rFonts w:cs="宋体" w:asciiTheme="minorEastAsia" w:hAnsiTheme="minorEastAsia"/>
          <w:color w:val="000000"/>
          <w:sz w:val="30"/>
          <w:szCs w:val="30"/>
        </w:rPr>
        <w:t>部分</w:t>
      </w:r>
      <w:r>
        <w:rPr>
          <w:rFonts w:hint="eastAsia" w:cs="宋体" w:asciiTheme="minorEastAsia" w:hAnsiTheme="minorEastAsia"/>
          <w:color w:val="000000"/>
          <w:sz w:val="30"/>
          <w:szCs w:val="30"/>
        </w:rPr>
        <w:t xml:space="preserve">  预算项目</w:t>
      </w:r>
      <w:r>
        <w:rPr>
          <w:rFonts w:cs="宋体" w:asciiTheme="minorEastAsia" w:hAnsiTheme="minorEastAsia"/>
          <w:color w:val="000000"/>
          <w:sz w:val="30"/>
          <w:szCs w:val="30"/>
        </w:rPr>
        <w:t>绩效目标</w:t>
      </w:r>
      <w:r>
        <w:rPr>
          <w:rFonts w:asciiTheme="minorEastAsia" w:hAnsiTheme="minorEastAsia"/>
          <w:sz w:val="30"/>
          <w:szCs w:val="30"/>
        </w:rPr>
        <w:tab/>
      </w:r>
      <w:r>
        <w:rPr>
          <w:rFonts w:asciiTheme="minorEastAsia" w:hAnsiTheme="minorEastAsia"/>
          <w:sz w:val="30"/>
          <w:szCs w:val="30"/>
        </w:rPr>
        <w:fldChar w:fldCharType="end"/>
      </w:r>
      <w:r>
        <w:rPr>
          <w:rFonts w:asciiTheme="minorEastAsia" w:hAnsiTheme="minorEastAsia"/>
          <w:sz w:val="30"/>
          <w:szCs w:val="30"/>
        </w:rPr>
        <w:t>5</w:t>
      </w:r>
    </w:p>
    <w:p>
      <w:pPr>
        <w:ind w:firstLine="600" w:firstLineChars="200"/>
        <w:rPr>
          <w:rFonts w:asciiTheme="minorEastAsia" w:hAnsiTheme="minorEastAsia"/>
          <w:sz w:val="30"/>
          <w:szCs w:val="30"/>
        </w:rPr>
      </w:pPr>
      <w:r>
        <w:rPr>
          <w:rFonts w:hint="eastAsia" w:asciiTheme="minorEastAsia" w:hAnsiTheme="minorEastAsia"/>
          <w:sz w:val="30"/>
          <w:szCs w:val="30"/>
        </w:rPr>
        <w:t>1、国</w:t>
      </w:r>
      <w:r>
        <w:rPr>
          <w:rFonts w:asciiTheme="minorEastAsia" w:hAnsiTheme="minorEastAsia"/>
          <w:sz w:val="30"/>
          <w:szCs w:val="30"/>
        </w:rPr>
        <w:t>省干线公路日常养护经费</w:t>
      </w:r>
    </w:p>
    <w:p>
      <w:pPr>
        <w:ind w:firstLine="600" w:firstLineChars="200"/>
        <w:rPr>
          <w:rFonts w:asciiTheme="minorEastAsia" w:hAnsiTheme="minorEastAsia"/>
          <w:sz w:val="30"/>
          <w:szCs w:val="30"/>
        </w:rPr>
      </w:pPr>
      <w:r>
        <w:rPr>
          <w:rFonts w:asciiTheme="minorEastAsia" w:hAnsiTheme="minorEastAsia"/>
          <w:sz w:val="30"/>
          <w:szCs w:val="30"/>
        </w:rPr>
        <w:t>2</w:t>
      </w:r>
      <w:r>
        <w:rPr>
          <w:rFonts w:hint="eastAsia" w:asciiTheme="minorEastAsia" w:hAnsiTheme="minorEastAsia"/>
          <w:sz w:val="30"/>
          <w:szCs w:val="30"/>
        </w:rPr>
        <w:t>、普通国</w:t>
      </w:r>
      <w:r>
        <w:rPr>
          <w:rFonts w:asciiTheme="minorEastAsia" w:hAnsiTheme="minorEastAsia"/>
          <w:sz w:val="30"/>
          <w:szCs w:val="30"/>
        </w:rPr>
        <w:t>省干线养护工程</w:t>
      </w:r>
      <w:r>
        <w:rPr>
          <w:rFonts w:hint="eastAsia" w:asciiTheme="minorEastAsia" w:hAnsiTheme="minorEastAsia"/>
          <w:sz w:val="30"/>
          <w:szCs w:val="30"/>
        </w:rPr>
        <w:t>项目</w:t>
      </w:r>
    </w:p>
    <w:p>
      <w:pPr>
        <w:ind w:firstLine="600" w:firstLineChars="200"/>
        <w:rPr>
          <w:rFonts w:asciiTheme="minorEastAsia" w:hAnsiTheme="minorEastAsia"/>
          <w:sz w:val="30"/>
          <w:szCs w:val="30"/>
        </w:rPr>
      </w:pPr>
      <w:r>
        <w:rPr>
          <w:rFonts w:asciiTheme="minorEastAsia" w:hAnsiTheme="minorEastAsia"/>
          <w:sz w:val="30"/>
          <w:szCs w:val="30"/>
        </w:rPr>
        <w:t>3</w:t>
      </w:r>
      <w:r>
        <w:rPr>
          <w:rFonts w:hint="eastAsia" w:asciiTheme="minorEastAsia" w:hAnsiTheme="minorEastAsia"/>
          <w:sz w:val="30"/>
          <w:szCs w:val="30"/>
        </w:rPr>
        <w:t>、绿</w:t>
      </w:r>
      <w:r>
        <w:rPr>
          <w:rFonts w:asciiTheme="minorEastAsia" w:hAnsiTheme="minorEastAsia"/>
          <w:sz w:val="30"/>
          <w:szCs w:val="30"/>
        </w:rPr>
        <w:t>色减排补贴</w:t>
      </w:r>
    </w:p>
    <w:p>
      <w:pPr>
        <w:ind w:firstLine="600" w:firstLineChars="200"/>
        <w:rPr>
          <w:rFonts w:asciiTheme="minorEastAsia" w:hAnsiTheme="minorEastAsia"/>
          <w:sz w:val="30"/>
          <w:szCs w:val="30"/>
        </w:rPr>
      </w:pPr>
      <w:r>
        <w:rPr>
          <w:rFonts w:hint="eastAsia" w:asciiTheme="minorEastAsia" w:hAnsiTheme="minorEastAsia"/>
          <w:sz w:val="30"/>
          <w:szCs w:val="30"/>
        </w:rPr>
        <w:t>4、唐</w:t>
      </w:r>
      <w:r>
        <w:rPr>
          <w:rFonts w:asciiTheme="minorEastAsia" w:hAnsiTheme="minorEastAsia"/>
          <w:sz w:val="30"/>
          <w:szCs w:val="30"/>
        </w:rPr>
        <w:t>山市农村公路日常养护市级补助资金</w:t>
      </w:r>
    </w:p>
    <w:p>
      <w:pPr>
        <w:ind w:firstLine="600" w:firstLineChars="200"/>
        <w:rPr>
          <w:rFonts w:asciiTheme="minorEastAsia" w:hAnsiTheme="minorEastAsia"/>
          <w:sz w:val="30"/>
          <w:szCs w:val="30"/>
        </w:rPr>
      </w:pPr>
      <w:r>
        <w:rPr>
          <w:rFonts w:asciiTheme="minorEastAsia" w:hAnsiTheme="minorEastAsia"/>
          <w:sz w:val="30"/>
          <w:szCs w:val="30"/>
        </w:rPr>
        <w:t>5</w:t>
      </w:r>
      <w:r>
        <w:rPr>
          <w:rFonts w:hint="eastAsia" w:asciiTheme="minorEastAsia" w:hAnsiTheme="minorEastAsia"/>
          <w:sz w:val="30"/>
          <w:szCs w:val="30"/>
        </w:rPr>
        <w:t>、中</w:t>
      </w:r>
      <w:r>
        <w:rPr>
          <w:rFonts w:asciiTheme="minorEastAsia" w:hAnsiTheme="minorEastAsia"/>
          <w:sz w:val="30"/>
          <w:szCs w:val="30"/>
        </w:rPr>
        <w:t>国人民解放</w:t>
      </w:r>
      <w:r>
        <w:rPr>
          <w:rFonts w:hint="eastAsia" w:asciiTheme="minorEastAsia" w:hAnsiTheme="minorEastAsia"/>
          <w:sz w:val="30"/>
          <w:szCs w:val="30"/>
        </w:rPr>
        <w:t>军93642部队</w:t>
      </w:r>
      <w:r>
        <w:rPr>
          <w:rFonts w:asciiTheme="minorEastAsia" w:hAnsiTheme="minorEastAsia"/>
          <w:sz w:val="30"/>
          <w:szCs w:val="30"/>
        </w:rPr>
        <w:t>年度例行费用</w:t>
      </w:r>
    </w:p>
    <w:p>
      <w:pPr>
        <w:ind w:firstLine="600" w:firstLineChars="200"/>
        <w:rPr>
          <w:rFonts w:asciiTheme="minorEastAsia" w:hAnsiTheme="minorEastAsia"/>
          <w:sz w:val="30"/>
          <w:szCs w:val="30"/>
        </w:rPr>
      </w:pPr>
      <w:r>
        <w:rPr>
          <w:rFonts w:asciiTheme="minorEastAsia" w:hAnsiTheme="minorEastAsia"/>
          <w:sz w:val="30"/>
          <w:szCs w:val="30"/>
        </w:rPr>
        <w:t>6</w:t>
      </w:r>
      <w:r>
        <w:rPr>
          <w:rFonts w:hint="eastAsia" w:asciiTheme="minorEastAsia" w:hAnsiTheme="minorEastAsia"/>
          <w:sz w:val="30"/>
          <w:szCs w:val="30"/>
        </w:rPr>
        <w:t>、唐</w:t>
      </w:r>
      <w:r>
        <w:rPr>
          <w:rFonts w:asciiTheme="minorEastAsia" w:hAnsiTheme="minorEastAsia"/>
          <w:sz w:val="30"/>
          <w:szCs w:val="30"/>
        </w:rPr>
        <w:t>山三女河机场航线补贴资金</w:t>
      </w:r>
    </w:p>
    <w:p>
      <w:pPr>
        <w:ind w:firstLine="600" w:firstLineChars="200"/>
        <w:rPr>
          <w:rFonts w:asciiTheme="minorEastAsia" w:hAnsiTheme="minorEastAsia"/>
          <w:sz w:val="30"/>
          <w:szCs w:val="30"/>
        </w:rPr>
      </w:pPr>
      <w:r>
        <w:rPr>
          <w:rFonts w:asciiTheme="minorEastAsia" w:hAnsiTheme="minorEastAsia"/>
          <w:sz w:val="30"/>
          <w:szCs w:val="30"/>
        </w:rPr>
        <w:t>7</w:t>
      </w:r>
      <w:r>
        <w:rPr>
          <w:rFonts w:hint="eastAsia" w:asciiTheme="minorEastAsia" w:hAnsiTheme="minorEastAsia"/>
          <w:sz w:val="30"/>
          <w:szCs w:val="30"/>
        </w:rPr>
        <w:t>、机场</w:t>
      </w:r>
      <w:r>
        <w:rPr>
          <w:rFonts w:asciiTheme="minorEastAsia" w:hAnsiTheme="minorEastAsia"/>
          <w:sz w:val="30"/>
          <w:szCs w:val="30"/>
        </w:rPr>
        <w:t>扩建项目</w:t>
      </w:r>
      <w:r>
        <w:rPr>
          <w:rFonts w:hint="eastAsia" w:asciiTheme="minorEastAsia" w:hAnsiTheme="minorEastAsia"/>
          <w:sz w:val="30"/>
          <w:szCs w:val="30"/>
        </w:rPr>
        <w:t>启动</w:t>
      </w:r>
      <w:r>
        <w:rPr>
          <w:rFonts w:asciiTheme="minorEastAsia" w:hAnsiTheme="minorEastAsia"/>
          <w:sz w:val="30"/>
          <w:szCs w:val="30"/>
        </w:rPr>
        <w:t>资金</w:t>
      </w:r>
    </w:p>
    <w:p>
      <w:pPr>
        <w:ind w:firstLine="600" w:firstLineChars="200"/>
        <w:rPr>
          <w:rFonts w:asciiTheme="minorEastAsia" w:hAnsiTheme="minorEastAsia"/>
          <w:sz w:val="30"/>
          <w:szCs w:val="30"/>
        </w:rPr>
      </w:pPr>
      <w:r>
        <w:rPr>
          <w:rFonts w:asciiTheme="minorEastAsia" w:hAnsiTheme="minorEastAsia"/>
          <w:sz w:val="30"/>
          <w:szCs w:val="30"/>
        </w:rPr>
        <w:t>8</w:t>
      </w:r>
      <w:r>
        <w:rPr>
          <w:rFonts w:hint="eastAsia" w:asciiTheme="minorEastAsia" w:hAnsiTheme="minorEastAsia"/>
          <w:sz w:val="30"/>
          <w:szCs w:val="30"/>
        </w:rPr>
        <w:t>、交通</w:t>
      </w:r>
      <w:r>
        <w:rPr>
          <w:rFonts w:asciiTheme="minorEastAsia" w:hAnsiTheme="minorEastAsia"/>
          <w:sz w:val="30"/>
          <w:szCs w:val="30"/>
        </w:rPr>
        <w:t>运输基础设施重点项目建设前期费</w:t>
      </w:r>
    </w:p>
    <w:p>
      <w:pPr>
        <w:ind w:firstLine="600" w:firstLineChars="200"/>
        <w:rPr>
          <w:rFonts w:asciiTheme="minorEastAsia" w:hAnsiTheme="minorEastAsia"/>
          <w:sz w:val="30"/>
          <w:szCs w:val="30"/>
        </w:rPr>
      </w:pPr>
      <w:r>
        <w:rPr>
          <w:rFonts w:asciiTheme="minorEastAsia" w:hAnsiTheme="minorEastAsia"/>
          <w:sz w:val="30"/>
          <w:szCs w:val="30"/>
        </w:rPr>
        <w:t>9</w:t>
      </w:r>
      <w:r>
        <w:rPr>
          <w:rFonts w:hint="eastAsia" w:asciiTheme="minorEastAsia" w:hAnsiTheme="minorEastAsia"/>
          <w:sz w:val="30"/>
          <w:szCs w:val="30"/>
        </w:rPr>
        <w:t>、执</w:t>
      </w:r>
      <w:r>
        <w:rPr>
          <w:rFonts w:asciiTheme="minorEastAsia" w:hAnsiTheme="minorEastAsia"/>
          <w:sz w:val="30"/>
          <w:szCs w:val="30"/>
        </w:rPr>
        <w:t>法支队</w:t>
      </w:r>
      <w:r>
        <w:rPr>
          <w:rFonts w:hint="eastAsia" w:asciiTheme="minorEastAsia" w:hAnsiTheme="minorEastAsia"/>
          <w:sz w:val="30"/>
          <w:szCs w:val="30"/>
        </w:rPr>
        <w:t>卸载</w:t>
      </w:r>
      <w:r>
        <w:rPr>
          <w:rFonts w:asciiTheme="minorEastAsia" w:hAnsiTheme="minorEastAsia"/>
          <w:sz w:val="30"/>
          <w:szCs w:val="30"/>
        </w:rPr>
        <w:t>场地设备租赁费</w:t>
      </w:r>
    </w:p>
    <w:p>
      <w:pPr>
        <w:ind w:firstLine="600" w:firstLineChars="200"/>
        <w:rPr>
          <w:rFonts w:asciiTheme="minorEastAsia" w:hAnsiTheme="minorEastAsia"/>
          <w:sz w:val="30"/>
          <w:szCs w:val="30"/>
        </w:rPr>
      </w:pPr>
      <w:r>
        <w:rPr>
          <w:rFonts w:asciiTheme="minorEastAsia" w:hAnsiTheme="minorEastAsia"/>
          <w:sz w:val="30"/>
          <w:szCs w:val="30"/>
        </w:rPr>
        <w:t>10</w:t>
      </w:r>
      <w:r>
        <w:rPr>
          <w:rFonts w:hint="eastAsia" w:asciiTheme="minorEastAsia" w:hAnsiTheme="minorEastAsia"/>
          <w:sz w:val="30"/>
          <w:szCs w:val="30"/>
        </w:rPr>
        <w:t>、唐</w:t>
      </w:r>
      <w:r>
        <w:rPr>
          <w:rFonts w:asciiTheme="minorEastAsia" w:hAnsiTheme="minorEastAsia"/>
          <w:sz w:val="30"/>
          <w:szCs w:val="30"/>
        </w:rPr>
        <w:t>山三女河机场消防车</w:t>
      </w:r>
      <w:r>
        <w:rPr>
          <w:rFonts w:hint="eastAsia" w:asciiTheme="minorEastAsia" w:hAnsiTheme="minorEastAsia"/>
          <w:sz w:val="30"/>
          <w:szCs w:val="30"/>
        </w:rPr>
        <w:t>辆</w:t>
      </w:r>
      <w:r>
        <w:rPr>
          <w:rFonts w:asciiTheme="minorEastAsia" w:hAnsiTheme="minorEastAsia"/>
          <w:sz w:val="30"/>
          <w:szCs w:val="30"/>
        </w:rPr>
        <w:t>购置</w:t>
      </w:r>
    </w:p>
    <w:p>
      <w:pPr>
        <w:jc w:val="center"/>
        <w:rPr>
          <w:rFonts w:hint="eastAsia" w:cs="楷体" w:asciiTheme="minorEastAsia" w:hAnsiTheme="minorEastAsia"/>
          <w:color w:val="000000"/>
          <w:sz w:val="30"/>
          <w:szCs w:val="30"/>
        </w:rPr>
        <w:sectPr>
          <w:pgSz w:w="11906" w:h="16838"/>
          <w:pgMar w:top="1440" w:right="1800" w:bottom="1440" w:left="1800" w:header="851" w:footer="992" w:gutter="0"/>
          <w:cols w:space="425" w:num="1"/>
          <w:docGrid w:type="lines" w:linePitch="312" w:charSpace="0"/>
        </w:sectPr>
      </w:pPr>
      <w:r>
        <w:rPr>
          <w:rFonts w:hint="eastAsia" w:cs="楷体" w:asciiTheme="minorEastAsia" w:hAnsiTheme="minorEastAsia"/>
          <w:color w:val="000000"/>
          <w:sz w:val="30"/>
          <w:szCs w:val="30"/>
        </w:rPr>
        <w:fldChar w:fldCharType="end"/>
      </w:r>
    </w:p>
    <w:p>
      <w:pPr>
        <w:jc w:val="center"/>
        <w:rPr>
          <w:rFonts w:hint="eastAsia" w:cs="楷体" w:asciiTheme="minorEastAsia" w:hAnsiTheme="minorEastAsia"/>
          <w:color w:val="000000"/>
          <w:sz w:val="30"/>
          <w:szCs w:val="30"/>
        </w:rPr>
        <w:sectPr>
          <w:pgSz w:w="11906" w:h="16838"/>
          <w:pgMar w:top="1440" w:right="1800" w:bottom="1440" w:left="1800" w:header="851" w:footer="992" w:gutter="0"/>
          <w:cols w:space="425" w:num="1"/>
          <w:docGrid w:type="lines" w:linePitch="312" w:charSpace="0"/>
        </w:sectPr>
      </w:pPr>
    </w:p>
    <w:p>
      <w:pPr>
        <w:pStyle w:val="2"/>
        <w:jc w:val="center"/>
      </w:pPr>
      <w:r>
        <w:rPr>
          <w:rFonts w:hint="eastAsia"/>
        </w:rPr>
        <w:t>第一</w:t>
      </w:r>
      <w:r>
        <w:t>部</w:t>
      </w:r>
      <w:r>
        <w:rPr>
          <w:rFonts w:hint="eastAsia"/>
        </w:rPr>
        <w:t>分</w:t>
      </w:r>
    </w:p>
    <w:p>
      <w:pPr>
        <w:pStyle w:val="2"/>
        <w:jc w:val="center"/>
        <w:rPr>
          <w:b w:val="0"/>
          <w:szCs w:val="44"/>
        </w:rPr>
      </w:pPr>
      <w:r>
        <w:rPr>
          <w:rFonts w:hint="eastAsia"/>
          <w:szCs w:val="44"/>
        </w:rPr>
        <w:t>2022年</w:t>
      </w:r>
      <w:r>
        <w:rPr>
          <w:szCs w:val="44"/>
        </w:rPr>
        <w:t>部门整体绩效目标</w:t>
      </w:r>
    </w:p>
    <w:p>
      <w:pPr>
        <w:ind w:firstLine="562" w:firstLineChars="200"/>
        <w:jc w:val="left"/>
        <w:rPr>
          <w:rFonts w:ascii="仿宋" w:hAnsi="仿宋" w:eastAsia="仿宋" w:cs="宋体"/>
          <w:b/>
          <w:color w:val="000000"/>
          <w:sz w:val="28"/>
          <w:szCs w:val="28"/>
        </w:rPr>
      </w:pPr>
      <w:r>
        <w:rPr>
          <w:rFonts w:hint="eastAsia" w:ascii="仿宋" w:hAnsi="仿宋" w:eastAsia="仿宋" w:cs="宋体"/>
          <w:b/>
          <w:color w:val="000000"/>
          <w:sz w:val="28"/>
          <w:szCs w:val="28"/>
        </w:rPr>
        <w:t>一、总体绩效目标</w:t>
      </w:r>
    </w:p>
    <w:p>
      <w:pPr>
        <w:adjustRightInd w:val="0"/>
        <w:snapToGrid w:val="0"/>
        <w:spacing w:line="600" w:lineRule="exact"/>
        <w:ind w:firstLine="560" w:firstLineChars="200"/>
        <w:rPr>
          <w:rFonts w:ascii="仿宋" w:hAnsi="仿宋" w:eastAsia="仿宋" w:cs="方正仿宋简体"/>
          <w:bCs/>
          <w:sz w:val="28"/>
          <w:szCs w:val="28"/>
        </w:rPr>
      </w:pPr>
      <w:r>
        <w:rPr>
          <w:rFonts w:hint="eastAsia" w:ascii="仿宋" w:hAnsi="仿宋" w:eastAsia="仿宋" w:cs="方正仿宋简体"/>
          <w:bCs/>
          <w:sz w:val="28"/>
          <w:szCs w:val="28"/>
        </w:rPr>
        <w:t>以</w:t>
      </w:r>
      <w:r>
        <w:rPr>
          <w:rFonts w:ascii="仿宋" w:hAnsi="仿宋" w:eastAsia="仿宋" w:cs="方正仿宋简体"/>
          <w:bCs/>
          <w:sz w:val="28"/>
          <w:szCs w:val="28"/>
        </w:rPr>
        <w:t>习</w:t>
      </w:r>
      <w:r>
        <w:rPr>
          <w:rFonts w:hint="eastAsia" w:ascii="仿宋" w:hAnsi="仿宋" w:eastAsia="仿宋" w:cs="方正仿宋简体"/>
          <w:bCs/>
          <w:sz w:val="28"/>
          <w:szCs w:val="28"/>
        </w:rPr>
        <w:t>近</w:t>
      </w:r>
      <w:r>
        <w:rPr>
          <w:rFonts w:ascii="仿宋" w:hAnsi="仿宋" w:eastAsia="仿宋" w:cs="方正仿宋简体"/>
          <w:bCs/>
          <w:sz w:val="28"/>
          <w:szCs w:val="28"/>
        </w:rPr>
        <w:t>平新时代中国特色社会主义思想为指导，深入贯彻党的十九大和十九届二中、三中、四中、五中全会精神，按照交通强国建设纲要的要求，紧紧</w:t>
      </w:r>
      <w:r>
        <w:rPr>
          <w:rFonts w:hint="eastAsia" w:ascii="仿宋" w:hAnsi="仿宋" w:eastAsia="仿宋" w:cs="方正仿宋简体"/>
          <w:bCs/>
          <w:sz w:val="28"/>
          <w:szCs w:val="28"/>
        </w:rPr>
        <w:t>围绕</w:t>
      </w:r>
      <w:r>
        <w:rPr>
          <w:rFonts w:ascii="仿宋" w:hAnsi="仿宋" w:eastAsia="仿宋" w:cs="方正仿宋简体"/>
          <w:bCs/>
          <w:sz w:val="28"/>
          <w:szCs w:val="28"/>
        </w:rPr>
        <w:t>统筹推进</w:t>
      </w:r>
      <w:r>
        <w:rPr>
          <w:rFonts w:hint="eastAsia" w:ascii="仿宋" w:hAnsi="仿宋" w:eastAsia="仿宋" w:cs="方正仿宋简体"/>
          <w:bCs/>
          <w:sz w:val="28"/>
          <w:szCs w:val="28"/>
        </w:rPr>
        <w:t>“</w:t>
      </w:r>
      <w:r>
        <w:rPr>
          <w:rFonts w:ascii="仿宋" w:hAnsi="仿宋" w:eastAsia="仿宋" w:cs="方正仿宋简体"/>
          <w:bCs/>
          <w:sz w:val="28"/>
          <w:szCs w:val="28"/>
        </w:rPr>
        <w:t>五位一体</w:t>
      </w:r>
      <w:r>
        <w:rPr>
          <w:rFonts w:hint="eastAsia" w:ascii="仿宋" w:hAnsi="仿宋" w:eastAsia="仿宋" w:cs="方正仿宋简体"/>
          <w:bCs/>
          <w:sz w:val="28"/>
          <w:szCs w:val="28"/>
        </w:rPr>
        <w:t>”</w:t>
      </w:r>
      <w:r>
        <w:rPr>
          <w:rFonts w:ascii="仿宋" w:hAnsi="仿宋" w:eastAsia="仿宋" w:cs="方正仿宋简体"/>
          <w:bCs/>
          <w:sz w:val="28"/>
          <w:szCs w:val="28"/>
        </w:rPr>
        <w:t>总体布局和协调推进</w:t>
      </w:r>
      <w:r>
        <w:rPr>
          <w:rFonts w:hint="eastAsia" w:ascii="仿宋" w:hAnsi="仿宋" w:eastAsia="仿宋" w:cs="方正仿宋简体"/>
          <w:bCs/>
          <w:sz w:val="28"/>
          <w:szCs w:val="28"/>
        </w:rPr>
        <w:t>“</w:t>
      </w:r>
      <w:r>
        <w:rPr>
          <w:rFonts w:ascii="仿宋" w:hAnsi="仿宋" w:eastAsia="仿宋" w:cs="方正仿宋简体"/>
          <w:bCs/>
          <w:sz w:val="28"/>
          <w:szCs w:val="28"/>
        </w:rPr>
        <w:t>四个全面</w:t>
      </w:r>
      <w:r>
        <w:rPr>
          <w:rFonts w:hint="eastAsia" w:ascii="仿宋" w:hAnsi="仿宋" w:eastAsia="仿宋" w:cs="方正仿宋简体"/>
          <w:bCs/>
          <w:sz w:val="28"/>
          <w:szCs w:val="28"/>
        </w:rPr>
        <w:t>”</w:t>
      </w:r>
      <w:r>
        <w:rPr>
          <w:rFonts w:ascii="仿宋" w:hAnsi="仿宋" w:eastAsia="仿宋" w:cs="方正仿宋简体"/>
          <w:bCs/>
          <w:sz w:val="28"/>
          <w:szCs w:val="28"/>
        </w:rPr>
        <w:t>战略</w:t>
      </w:r>
      <w:r>
        <w:rPr>
          <w:rFonts w:hint="eastAsia" w:ascii="仿宋" w:hAnsi="仿宋" w:eastAsia="仿宋" w:cs="方正仿宋简体"/>
          <w:bCs/>
          <w:sz w:val="28"/>
          <w:szCs w:val="28"/>
        </w:rPr>
        <w:t>布局</w:t>
      </w:r>
      <w:r>
        <w:rPr>
          <w:rFonts w:ascii="仿宋" w:hAnsi="仿宋" w:eastAsia="仿宋" w:cs="方正仿宋简体"/>
          <w:bCs/>
          <w:sz w:val="28"/>
          <w:szCs w:val="28"/>
        </w:rPr>
        <w:t>，</w:t>
      </w:r>
      <w:r>
        <w:rPr>
          <w:rFonts w:hint="eastAsia" w:ascii="仿宋" w:hAnsi="仿宋" w:eastAsia="仿宋" w:cs="方正仿宋简体"/>
          <w:bCs/>
          <w:sz w:val="28"/>
          <w:szCs w:val="28"/>
        </w:rPr>
        <w:t>推动</w:t>
      </w:r>
      <w:r>
        <w:rPr>
          <w:rFonts w:ascii="仿宋" w:hAnsi="仿宋" w:eastAsia="仿宋" w:cs="方正仿宋简体"/>
          <w:bCs/>
          <w:sz w:val="28"/>
          <w:szCs w:val="28"/>
        </w:rPr>
        <w:t>交通发展由追求速度</w:t>
      </w:r>
      <w:r>
        <w:rPr>
          <w:rFonts w:hint="eastAsia" w:ascii="仿宋" w:hAnsi="仿宋" w:eastAsia="仿宋" w:cs="方正仿宋简体"/>
          <w:bCs/>
          <w:sz w:val="28"/>
          <w:szCs w:val="28"/>
        </w:rPr>
        <w:t>规模</w:t>
      </w:r>
      <w:r>
        <w:rPr>
          <w:rFonts w:ascii="仿宋" w:hAnsi="仿宋" w:eastAsia="仿宋" w:cs="方正仿宋简体"/>
          <w:bCs/>
          <w:sz w:val="28"/>
          <w:szCs w:val="28"/>
        </w:rPr>
        <w:t>向更加注重</w:t>
      </w:r>
      <w:r>
        <w:rPr>
          <w:rFonts w:hint="eastAsia" w:ascii="仿宋" w:hAnsi="仿宋" w:eastAsia="仿宋" w:cs="方正仿宋简体"/>
          <w:bCs/>
          <w:sz w:val="28"/>
          <w:szCs w:val="28"/>
        </w:rPr>
        <w:t>质量</w:t>
      </w:r>
      <w:r>
        <w:rPr>
          <w:rFonts w:ascii="仿宋" w:hAnsi="仿宋" w:eastAsia="仿宋" w:cs="方正仿宋简体"/>
          <w:bCs/>
          <w:sz w:val="28"/>
          <w:szCs w:val="28"/>
        </w:rPr>
        <w:t>效益转变。以</w:t>
      </w:r>
      <w:r>
        <w:rPr>
          <w:rFonts w:hint="eastAsia" w:ascii="仿宋" w:hAnsi="仿宋" w:eastAsia="仿宋" w:cs="方正仿宋简体"/>
          <w:bCs/>
          <w:sz w:val="28"/>
          <w:szCs w:val="28"/>
        </w:rPr>
        <w:t>“</w:t>
      </w:r>
      <w:r>
        <w:rPr>
          <w:rFonts w:ascii="仿宋" w:hAnsi="仿宋" w:eastAsia="仿宋" w:cs="方正仿宋简体"/>
          <w:bCs/>
          <w:sz w:val="28"/>
          <w:szCs w:val="28"/>
        </w:rPr>
        <w:t>三个努力建成</w:t>
      </w:r>
      <w:r>
        <w:rPr>
          <w:rFonts w:hint="eastAsia" w:ascii="仿宋" w:hAnsi="仿宋" w:eastAsia="仿宋" w:cs="方正仿宋简体"/>
          <w:bCs/>
          <w:sz w:val="28"/>
          <w:szCs w:val="28"/>
        </w:rPr>
        <w:t>”</w:t>
      </w:r>
      <w:r>
        <w:rPr>
          <w:rFonts w:ascii="仿宋" w:hAnsi="仿宋" w:eastAsia="仿宋" w:cs="方正仿宋简体"/>
          <w:bCs/>
          <w:sz w:val="28"/>
          <w:szCs w:val="28"/>
        </w:rPr>
        <w:t>为目标，以“</w:t>
      </w:r>
      <w:r>
        <w:rPr>
          <w:rFonts w:hint="eastAsia" w:ascii="仿宋" w:hAnsi="仿宋" w:eastAsia="仿宋" w:cs="方正仿宋简体"/>
          <w:bCs/>
          <w:sz w:val="28"/>
          <w:szCs w:val="28"/>
        </w:rPr>
        <w:t>奋力</w:t>
      </w:r>
      <w:r>
        <w:rPr>
          <w:rFonts w:ascii="仿宋" w:hAnsi="仿宋" w:eastAsia="仿宋" w:cs="方正仿宋简体"/>
          <w:bCs/>
          <w:sz w:val="28"/>
          <w:szCs w:val="28"/>
        </w:rPr>
        <w:t>谱</w:t>
      </w:r>
      <w:r>
        <w:rPr>
          <w:rFonts w:hint="eastAsia" w:ascii="仿宋" w:hAnsi="仿宋" w:eastAsia="仿宋" w:cs="方正仿宋简体"/>
          <w:bCs/>
          <w:sz w:val="28"/>
          <w:szCs w:val="28"/>
        </w:rPr>
        <w:t>写</w:t>
      </w:r>
      <w:r>
        <w:rPr>
          <w:rFonts w:ascii="仿宋" w:hAnsi="仿宋" w:eastAsia="仿宋" w:cs="方正仿宋简体"/>
          <w:bCs/>
          <w:sz w:val="28"/>
          <w:szCs w:val="28"/>
        </w:rPr>
        <w:t>交通强力唐山篇章”为定位，以助</w:t>
      </w:r>
      <w:r>
        <w:rPr>
          <w:rFonts w:hint="eastAsia" w:ascii="仿宋" w:hAnsi="仿宋" w:eastAsia="仿宋" w:cs="方正仿宋简体"/>
          <w:bCs/>
          <w:sz w:val="28"/>
          <w:szCs w:val="28"/>
        </w:rPr>
        <w:t>力“</w:t>
      </w:r>
      <w:r>
        <w:rPr>
          <w:rFonts w:ascii="仿宋" w:hAnsi="仿宋" w:eastAsia="仿宋" w:cs="方正仿宋简体"/>
          <w:bCs/>
          <w:sz w:val="28"/>
          <w:szCs w:val="28"/>
        </w:rPr>
        <w:t>京津冀</w:t>
      </w:r>
      <w:r>
        <w:rPr>
          <w:rFonts w:hint="eastAsia" w:ascii="仿宋" w:hAnsi="仿宋" w:eastAsia="仿宋" w:cs="方正仿宋简体"/>
          <w:bCs/>
          <w:sz w:val="28"/>
          <w:szCs w:val="28"/>
        </w:rPr>
        <w:t>协</w:t>
      </w:r>
      <w:r>
        <w:rPr>
          <w:rFonts w:ascii="仿宋" w:hAnsi="仿宋" w:eastAsia="仿宋" w:cs="方正仿宋简体"/>
          <w:bCs/>
          <w:sz w:val="28"/>
          <w:szCs w:val="28"/>
        </w:rPr>
        <w:t>同发展</w:t>
      </w:r>
      <w:r>
        <w:rPr>
          <w:rFonts w:hint="eastAsia" w:ascii="仿宋" w:hAnsi="仿宋" w:eastAsia="仿宋" w:cs="方正仿宋简体"/>
          <w:bCs/>
          <w:sz w:val="28"/>
          <w:szCs w:val="28"/>
        </w:rPr>
        <w:t>”</w:t>
      </w:r>
      <w:r>
        <w:rPr>
          <w:rFonts w:ascii="仿宋" w:hAnsi="仿宋" w:eastAsia="仿宋" w:cs="方正仿宋简体"/>
          <w:bCs/>
          <w:sz w:val="28"/>
          <w:szCs w:val="28"/>
        </w:rPr>
        <w:t>和</w:t>
      </w:r>
      <w:r>
        <w:rPr>
          <w:rFonts w:hint="eastAsia" w:ascii="仿宋" w:hAnsi="仿宋" w:eastAsia="仿宋" w:cs="方正仿宋简体"/>
          <w:bCs/>
          <w:sz w:val="28"/>
          <w:szCs w:val="28"/>
        </w:rPr>
        <w:t>“</w:t>
      </w:r>
      <w:r>
        <w:rPr>
          <w:rFonts w:ascii="仿宋" w:hAnsi="仿宋" w:eastAsia="仿宋" w:cs="方正仿宋简体"/>
          <w:bCs/>
          <w:sz w:val="28"/>
          <w:szCs w:val="28"/>
        </w:rPr>
        <w:t>一带一</w:t>
      </w:r>
      <w:r>
        <w:rPr>
          <w:rFonts w:hint="eastAsia" w:ascii="仿宋" w:hAnsi="仿宋" w:eastAsia="仿宋" w:cs="方正仿宋简体"/>
          <w:bCs/>
          <w:sz w:val="28"/>
          <w:szCs w:val="28"/>
        </w:rPr>
        <w:t>路”</w:t>
      </w:r>
      <w:r>
        <w:rPr>
          <w:rFonts w:hint="eastAsia" w:ascii="仿宋" w:hAnsi="仿宋" w:eastAsia="仿宋" w:cs="方正仿宋简体"/>
          <w:bCs/>
          <w:sz w:val="28"/>
          <w:szCs w:val="28"/>
          <w:lang w:val="en-US" w:eastAsia="zh-CN"/>
        </w:rPr>
        <w:t>倡议</w:t>
      </w:r>
      <w:bookmarkStart w:id="1" w:name="_GoBack"/>
      <w:bookmarkEnd w:id="1"/>
      <w:r>
        <w:rPr>
          <w:rFonts w:ascii="仿宋" w:hAnsi="仿宋" w:eastAsia="仿宋" w:cs="方正仿宋简体"/>
          <w:bCs/>
          <w:sz w:val="28"/>
          <w:szCs w:val="28"/>
        </w:rPr>
        <w:t>为抓手，以建设</w:t>
      </w:r>
      <w:r>
        <w:rPr>
          <w:rFonts w:hint="eastAsia" w:ascii="仿宋" w:hAnsi="仿宋" w:eastAsia="仿宋" w:cs="方正仿宋简体"/>
          <w:bCs/>
          <w:sz w:val="28"/>
          <w:szCs w:val="28"/>
        </w:rPr>
        <w:t>世界</w:t>
      </w:r>
      <w:r>
        <w:rPr>
          <w:rFonts w:ascii="仿宋" w:hAnsi="仿宋" w:eastAsia="仿宋" w:cs="方正仿宋简体"/>
          <w:bCs/>
          <w:sz w:val="28"/>
          <w:szCs w:val="28"/>
        </w:rPr>
        <w:t>级</w:t>
      </w:r>
      <w:r>
        <w:rPr>
          <w:rFonts w:hint="eastAsia" w:ascii="仿宋" w:hAnsi="仿宋" w:eastAsia="仿宋" w:cs="方正仿宋简体"/>
          <w:bCs/>
          <w:sz w:val="28"/>
          <w:szCs w:val="28"/>
        </w:rPr>
        <w:t>“</w:t>
      </w:r>
      <w:r>
        <w:rPr>
          <w:rFonts w:ascii="仿宋" w:hAnsi="仿宋" w:eastAsia="仿宋" w:cs="方正仿宋简体"/>
          <w:bCs/>
          <w:sz w:val="28"/>
          <w:szCs w:val="28"/>
        </w:rPr>
        <w:t>两</w:t>
      </w:r>
      <w:r>
        <w:rPr>
          <w:rFonts w:hint="eastAsia" w:ascii="仿宋" w:hAnsi="仿宋" w:eastAsia="仿宋" w:cs="方正仿宋简体"/>
          <w:bCs/>
          <w:sz w:val="28"/>
          <w:szCs w:val="28"/>
        </w:rPr>
        <w:t>群两</w:t>
      </w:r>
      <w:r>
        <w:rPr>
          <w:rFonts w:ascii="仿宋" w:hAnsi="仿宋" w:eastAsia="仿宋" w:cs="方正仿宋简体"/>
          <w:bCs/>
          <w:sz w:val="28"/>
          <w:szCs w:val="28"/>
        </w:rPr>
        <w:t>网</w:t>
      </w:r>
      <w:r>
        <w:rPr>
          <w:rFonts w:hint="eastAsia" w:ascii="仿宋" w:hAnsi="仿宋" w:eastAsia="仿宋" w:cs="方正仿宋简体"/>
          <w:bCs/>
          <w:sz w:val="28"/>
          <w:szCs w:val="28"/>
        </w:rPr>
        <w:t>”</w:t>
      </w:r>
      <w:r>
        <w:rPr>
          <w:rFonts w:ascii="仿宋" w:hAnsi="仿宋" w:eastAsia="仿宋" w:cs="方正仿宋简体"/>
          <w:bCs/>
          <w:sz w:val="28"/>
          <w:szCs w:val="28"/>
        </w:rPr>
        <w:t>为支撑，坚持推动高质量发展，全面推</w:t>
      </w:r>
      <w:r>
        <w:rPr>
          <w:rFonts w:hint="eastAsia" w:ascii="仿宋" w:hAnsi="仿宋" w:eastAsia="仿宋" w:cs="方正仿宋简体"/>
          <w:bCs/>
          <w:sz w:val="28"/>
          <w:szCs w:val="28"/>
        </w:rPr>
        <w:t>进</w:t>
      </w:r>
      <w:r>
        <w:rPr>
          <w:rFonts w:ascii="仿宋" w:hAnsi="仿宋" w:eastAsia="仿宋" w:cs="方正仿宋简体"/>
          <w:bCs/>
          <w:sz w:val="28"/>
          <w:szCs w:val="28"/>
        </w:rPr>
        <w:t>交通运输供给侧结构性改革，重点构建城市</w:t>
      </w:r>
      <w:r>
        <w:rPr>
          <w:rFonts w:hint="eastAsia" w:ascii="仿宋" w:hAnsi="仿宋" w:eastAsia="仿宋" w:cs="方正仿宋简体"/>
          <w:bCs/>
          <w:sz w:val="28"/>
          <w:szCs w:val="28"/>
        </w:rPr>
        <w:t>“双</w:t>
      </w:r>
      <w:r>
        <w:rPr>
          <w:rFonts w:ascii="仿宋" w:hAnsi="仿宋" w:eastAsia="仿宋" w:cs="方正仿宋简体"/>
          <w:bCs/>
          <w:sz w:val="28"/>
          <w:szCs w:val="28"/>
        </w:rPr>
        <w:t>大外环</w:t>
      </w:r>
      <w:r>
        <w:rPr>
          <w:rFonts w:hint="eastAsia" w:ascii="仿宋" w:hAnsi="仿宋" w:eastAsia="仿宋" w:cs="方正仿宋简体"/>
          <w:bCs/>
          <w:sz w:val="28"/>
          <w:szCs w:val="28"/>
        </w:rPr>
        <w:t>”</w:t>
      </w:r>
      <w:r>
        <w:rPr>
          <w:rFonts w:ascii="仿宋" w:hAnsi="仿宋" w:eastAsia="仿宋" w:cs="方正仿宋简体"/>
          <w:bCs/>
          <w:sz w:val="28"/>
          <w:szCs w:val="28"/>
        </w:rPr>
        <w:t>公路网体系，</w:t>
      </w:r>
      <w:r>
        <w:rPr>
          <w:rFonts w:hint="eastAsia" w:ascii="仿宋" w:hAnsi="仿宋" w:eastAsia="仿宋" w:cs="方正仿宋简体"/>
          <w:bCs/>
          <w:sz w:val="28"/>
          <w:szCs w:val="28"/>
        </w:rPr>
        <w:t>深</w:t>
      </w:r>
      <w:r>
        <w:rPr>
          <w:rFonts w:ascii="仿宋" w:hAnsi="仿宋" w:eastAsia="仿宋" w:cs="方正仿宋简体"/>
          <w:bCs/>
          <w:sz w:val="28"/>
          <w:szCs w:val="28"/>
        </w:rPr>
        <w:t>入推动</w:t>
      </w:r>
      <w:r>
        <w:rPr>
          <w:rFonts w:hint="eastAsia" w:ascii="仿宋" w:hAnsi="仿宋" w:eastAsia="仿宋" w:cs="方正仿宋简体"/>
          <w:bCs/>
          <w:sz w:val="28"/>
          <w:szCs w:val="28"/>
        </w:rPr>
        <w:t>“</w:t>
      </w:r>
      <w:r>
        <w:rPr>
          <w:rFonts w:ascii="仿宋" w:hAnsi="仿宋" w:eastAsia="仿宋" w:cs="方正仿宋简体"/>
          <w:bCs/>
          <w:sz w:val="28"/>
          <w:szCs w:val="28"/>
        </w:rPr>
        <w:t>四好农村</w:t>
      </w:r>
      <w:r>
        <w:rPr>
          <w:rFonts w:hint="eastAsia" w:ascii="仿宋" w:hAnsi="仿宋" w:eastAsia="仿宋" w:cs="方正仿宋简体"/>
          <w:bCs/>
          <w:sz w:val="28"/>
          <w:szCs w:val="28"/>
        </w:rPr>
        <w:t>路”</w:t>
      </w:r>
      <w:r>
        <w:rPr>
          <w:rFonts w:ascii="仿宋" w:hAnsi="仿宋" w:eastAsia="仿宋" w:cs="方正仿宋简体"/>
          <w:bCs/>
          <w:sz w:val="28"/>
          <w:szCs w:val="28"/>
        </w:rPr>
        <w:t>向纵深发展。由</w:t>
      </w:r>
      <w:r>
        <w:rPr>
          <w:rFonts w:hint="eastAsia" w:ascii="仿宋" w:hAnsi="仿宋" w:eastAsia="仿宋" w:cs="方正仿宋简体"/>
          <w:bCs/>
          <w:sz w:val="28"/>
          <w:szCs w:val="28"/>
        </w:rPr>
        <w:t>各</w:t>
      </w:r>
      <w:r>
        <w:rPr>
          <w:rFonts w:ascii="仿宋" w:hAnsi="仿宋" w:eastAsia="仿宋" w:cs="方正仿宋简体"/>
          <w:bCs/>
          <w:sz w:val="28"/>
          <w:szCs w:val="28"/>
        </w:rPr>
        <w:t>种交通方式相对独立</w:t>
      </w:r>
      <w:r>
        <w:rPr>
          <w:rFonts w:hint="eastAsia" w:ascii="仿宋" w:hAnsi="仿宋" w:eastAsia="仿宋" w:cs="方正仿宋简体"/>
          <w:bCs/>
          <w:sz w:val="28"/>
          <w:szCs w:val="28"/>
        </w:rPr>
        <w:t>发</w:t>
      </w:r>
      <w:r>
        <w:rPr>
          <w:rFonts w:ascii="仿宋" w:hAnsi="仿宋" w:eastAsia="仿宋" w:cs="方正仿宋简体"/>
          <w:bCs/>
          <w:sz w:val="28"/>
          <w:szCs w:val="28"/>
        </w:rPr>
        <w:t>展向更加注重一体化融合发展转变</w:t>
      </w:r>
      <w:r>
        <w:rPr>
          <w:rFonts w:hint="eastAsia" w:ascii="仿宋" w:hAnsi="仿宋" w:eastAsia="仿宋" w:cs="方正仿宋简体"/>
          <w:bCs/>
          <w:sz w:val="28"/>
          <w:szCs w:val="28"/>
        </w:rPr>
        <w:t>，</w:t>
      </w:r>
      <w:r>
        <w:rPr>
          <w:rFonts w:ascii="仿宋" w:hAnsi="仿宋" w:eastAsia="仿宋" w:cs="方正仿宋简体"/>
          <w:bCs/>
          <w:sz w:val="28"/>
          <w:szCs w:val="28"/>
        </w:rPr>
        <w:t>由</w:t>
      </w:r>
      <w:r>
        <w:rPr>
          <w:rFonts w:hint="eastAsia" w:ascii="仿宋" w:hAnsi="仿宋" w:eastAsia="仿宋" w:cs="方正仿宋简体"/>
          <w:bCs/>
          <w:sz w:val="28"/>
          <w:szCs w:val="28"/>
        </w:rPr>
        <w:t>依靠</w:t>
      </w:r>
      <w:r>
        <w:rPr>
          <w:rFonts w:ascii="仿宋" w:hAnsi="仿宋" w:eastAsia="仿宋" w:cs="方正仿宋简体"/>
          <w:bCs/>
          <w:sz w:val="28"/>
          <w:szCs w:val="28"/>
        </w:rPr>
        <w:t>传统要</w:t>
      </w:r>
      <w:r>
        <w:rPr>
          <w:rFonts w:hint="eastAsia" w:ascii="仿宋" w:hAnsi="仿宋" w:eastAsia="仿宋" w:cs="方正仿宋简体"/>
          <w:bCs/>
          <w:sz w:val="28"/>
          <w:szCs w:val="28"/>
        </w:rPr>
        <w:t>素</w:t>
      </w:r>
      <w:r>
        <w:rPr>
          <w:rFonts w:ascii="仿宋" w:hAnsi="仿宋" w:eastAsia="仿宋" w:cs="方正仿宋简体"/>
          <w:bCs/>
          <w:sz w:val="28"/>
          <w:szCs w:val="28"/>
        </w:rPr>
        <w:t>驱动向更加</w:t>
      </w:r>
      <w:r>
        <w:rPr>
          <w:rFonts w:hint="eastAsia" w:ascii="仿宋" w:hAnsi="仿宋" w:eastAsia="仿宋" w:cs="方正仿宋简体"/>
          <w:bCs/>
          <w:sz w:val="28"/>
          <w:szCs w:val="28"/>
        </w:rPr>
        <w:t>注</w:t>
      </w:r>
      <w:r>
        <w:rPr>
          <w:rFonts w:ascii="仿宋" w:hAnsi="仿宋" w:eastAsia="仿宋" w:cs="方正仿宋简体"/>
          <w:bCs/>
          <w:sz w:val="28"/>
          <w:szCs w:val="28"/>
        </w:rPr>
        <w:t>重创新驱动转变，构建安全、便捷、高效、绿色、经济的现代化综合交通体系，打造一流设施、一流技术、一流管理、一流服务，为建成交通强国贡献唐</w:t>
      </w:r>
      <w:r>
        <w:rPr>
          <w:rFonts w:hint="eastAsia" w:ascii="仿宋" w:hAnsi="仿宋" w:eastAsia="仿宋" w:cs="方正仿宋简体"/>
          <w:bCs/>
          <w:sz w:val="28"/>
          <w:szCs w:val="28"/>
        </w:rPr>
        <w:t>山</w:t>
      </w:r>
      <w:r>
        <w:rPr>
          <w:rFonts w:ascii="仿宋" w:hAnsi="仿宋" w:eastAsia="仿宋" w:cs="方正仿宋简体"/>
          <w:bCs/>
          <w:sz w:val="28"/>
          <w:szCs w:val="28"/>
        </w:rPr>
        <w:t>力量。</w:t>
      </w:r>
    </w:p>
    <w:p>
      <w:pPr>
        <w:adjustRightInd w:val="0"/>
        <w:snapToGrid w:val="0"/>
        <w:spacing w:line="600" w:lineRule="exact"/>
        <w:ind w:firstLine="560" w:firstLineChars="200"/>
        <w:rPr>
          <w:rFonts w:ascii="仿宋" w:hAnsi="仿宋" w:eastAsia="仿宋" w:cs="方正仿宋简体"/>
          <w:bCs/>
          <w:sz w:val="28"/>
          <w:szCs w:val="28"/>
        </w:rPr>
      </w:pPr>
      <w:r>
        <w:rPr>
          <w:rFonts w:hint="eastAsia" w:ascii="仿宋" w:hAnsi="仿宋" w:eastAsia="仿宋" w:cs="方正仿宋简体"/>
          <w:bCs/>
          <w:sz w:val="28"/>
          <w:szCs w:val="28"/>
        </w:rPr>
        <w:t>到2025年</w:t>
      </w:r>
      <w:r>
        <w:rPr>
          <w:rFonts w:ascii="仿宋" w:hAnsi="仿宋" w:eastAsia="仿宋" w:cs="方正仿宋简体"/>
          <w:bCs/>
          <w:sz w:val="28"/>
          <w:szCs w:val="28"/>
        </w:rPr>
        <w:t>，基础设施网络更加先进可靠，结构更加合理</w:t>
      </w:r>
      <w:r>
        <w:rPr>
          <w:rFonts w:hint="eastAsia" w:ascii="仿宋" w:hAnsi="仿宋" w:eastAsia="仿宋" w:cs="方正仿宋简体"/>
          <w:bCs/>
          <w:sz w:val="28"/>
          <w:szCs w:val="28"/>
        </w:rPr>
        <w:t>。</w:t>
      </w:r>
      <w:r>
        <w:rPr>
          <w:rFonts w:ascii="仿宋" w:hAnsi="仿宋" w:eastAsia="仿宋" w:cs="方正仿宋简体"/>
          <w:bCs/>
          <w:sz w:val="28"/>
          <w:szCs w:val="28"/>
        </w:rPr>
        <w:t>以</w:t>
      </w:r>
      <w:r>
        <w:rPr>
          <w:rFonts w:hint="eastAsia" w:ascii="仿宋" w:hAnsi="仿宋" w:eastAsia="仿宋" w:cs="方正仿宋简体"/>
          <w:bCs/>
          <w:sz w:val="28"/>
          <w:szCs w:val="28"/>
        </w:rPr>
        <w:t>“</w:t>
      </w:r>
      <w:r>
        <w:rPr>
          <w:rFonts w:ascii="仿宋" w:hAnsi="仿宋" w:eastAsia="仿宋" w:cs="方正仿宋简体"/>
          <w:bCs/>
          <w:sz w:val="28"/>
          <w:szCs w:val="28"/>
        </w:rPr>
        <w:t>三个努力建成</w:t>
      </w:r>
      <w:r>
        <w:rPr>
          <w:rFonts w:hint="eastAsia" w:ascii="仿宋" w:hAnsi="仿宋" w:eastAsia="仿宋" w:cs="方正仿宋简体"/>
          <w:bCs/>
          <w:sz w:val="28"/>
          <w:szCs w:val="28"/>
        </w:rPr>
        <w:t>”</w:t>
      </w:r>
      <w:r>
        <w:rPr>
          <w:rFonts w:ascii="仿宋" w:hAnsi="仿宋" w:eastAsia="仿宋" w:cs="方正仿宋简体"/>
          <w:bCs/>
          <w:sz w:val="28"/>
          <w:szCs w:val="28"/>
        </w:rPr>
        <w:t>，</w:t>
      </w:r>
      <w:r>
        <w:rPr>
          <w:rFonts w:hint="eastAsia" w:ascii="仿宋" w:hAnsi="仿宋" w:eastAsia="仿宋" w:cs="方正仿宋简体"/>
          <w:bCs/>
          <w:sz w:val="28"/>
          <w:szCs w:val="28"/>
        </w:rPr>
        <w:t>“</w:t>
      </w:r>
      <w:r>
        <w:rPr>
          <w:rFonts w:ascii="仿宋" w:hAnsi="仿宋" w:eastAsia="仿宋" w:cs="方正仿宋简体"/>
          <w:bCs/>
          <w:sz w:val="28"/>
          <w:szCs w:val="28"/>
        </w:rPr>
        <w:t>三个</w:t>
      </w:r>
      <w:r>
        <w:rPr>
          <w:rFonts w:hint="eastAsia" w:ascii="仿宋" w:hAnsi="仿宋" w:eastAsia="仿宋" w:cs="方正仿宋简体"/>
          <w:bCs/>
          <w:sz w:val="28"/>
          <w:szCs w:val="28"/>
        </w:rPr>
        <w:t>走</w:t>
      </w:r>
      <w:r>
        <w:rPr>
          <w:rFonts w:ascii="仿宋" w:hAnsi="仿宋" w:eastAsia="仿宋" w:cs="方正仿宋简体"/>
          <w:bCs/>
          <w:sz w:val="28"/>
          <w:szCs w:val="28"/>
        </w:rPr>
        <w:t>在前列</w:t>
      </w:r>
      <w:r>
        <w:rPr>
          <w:rFonts w:hint="eastAsia" w:ascii="仿宋" w:hAnsi="仿宋" w:eastAsia="仿宋" w:cs="方正仿宋简体"/>
          <w:bCs/>
          <w:sz w:val="28"/>
          <w:szCs w:val="28"/>
        </w:rPr>
        <w:t>”</w:t>
      </w:r>
      <w:r>
        <w:rPr>
          <w:rFonts w:ascii="仿宋" w:hAnsi="仿宋" w:eastAsia="仿宋" w:cs="方正仿宋简体"/>
          <w:bCs/>
          <w:sz w:val="28"/>
          <w:szCs w:val="28"/>
        </w:rPr>
        <w:t>、</w:t>
      </w:r>
      <w:r>
        <w:rPr>
          <w:rFonts w:hint="eastAsia" w:ascii="仿宋" w:hAnsi="仿宋" w:eastAsia="仿宋" w:cs="方正仿宋简体"/>
          <w:bCs/>
          <w:sz w:val="28"/>
          <w:szCs w:val="28"/>
        </w:rPr>
        <w:t>“</w:t>
      </w:r>
      <w:r>
        <w:rPr>
          <w:rFonts w:ascii="仿宋" w:hAnsi="仿宋" w:eastAsia="仿宋" w:cs="方正仿宋简体"/>
          <w:bCs/>
          <w:sz w:val="28"/>
          <w:szCs w:val="28"/>
        </w:rPr>
        <w:t>两个率先</w:t>
      </w:r>
      <w:r>
        <w:rPr>
          <w:rFonts w:hint="eastAsia" w:ascii="仿宋" w:hAnsi="仿宋" w:eastAsia="仿宋" w:cs="方正仿宋简体"/>
          <w:bCs/>
          <w:sz w:val="28"/>
          <w:szCs w:val="28"/>
        </w:rPr>
        <w:t>”</w:t>
      </w:r>
      <w:r>
        <w:rPr>
          <w:rFonts w:ascii="仿宋" w:hAnsi="仿宋" w:eastAsia="仿宋" w:cs="方正仿宋简体"/>
          <w:bCs/>
          <w:sz w:val="28"/>
          <w:szCs w:val="28"/>
        </w:rPr>
        <w:t>为发展目标，建成全国</w:t>
      </w:r>
      <w:r>
        <w:rPr>
          <w:rFonts w:hint="eastAsia" w:ascii="仿宋" w:hAnsi="仿宋" w:eastAsia="仿宋" w:cs="方正仿宋简体"/>
          <w:bCs/>
          <w:sz w:val="28"/>
          <w:szCs w:val="28"/>
        </w:rPr>
        <w:t>性综合</w:t>
      </w:r>
      <w:r>
        <w:rPr>
          <w:rFonts w:ascii="仿宋" w:hAnsi="仿宋" w:eastAsia="仿宋" w:cs="方正仿宋简体"/>
          <w:bCs/>
          <w:sz w:val="28"/>
          <w:szCs w:val="28"/>
        </w:rPr>
        <w:t>交通</w:t>
      </w:r>
      <w:r>
        <w:rPr>
          <w:rFonts w:hint="eastAsia" w:ascii="仿宋" w:hAnsi="仿宋" w:eastAsia="仿宋" w:cs="方正仿宋简体"/>
          <w:bCs/>
          <w:sz w:val="28"/>
          <w:szCs w:val="28"/>
        </w:rPr>
        <w:t>枢</w:t>
      </w:r>
      <w:r>
        <w:rPr>
          <w:rFonts w:ascii="仿宋" w:hAnsi="仿宋" w:eastAsia="仿宋" w:cs="方正仿宋简体"/>
          <w:bCs/>
          <w:sz w:val="28"/>
          <w:szCs w:val="28"/>
        </w:rPr>
        <w:t>纽；融入世界级</w:t>
      </w:r>
      <w:r>
        <w:rPr>
          <w:rFonts w:hint="eastAsia" w:ascii="仿宋" w:hAnsi="仿宋" w:eastAsia="仿宋" w:cs="方正仿宋简体"/>
          <w:bCs/>
          <w:sz w:val="28"/>
          <w:szCs w:val="28"/>
        </w:rPr>
        <w:t>“</w:t>
      </w:r>
      <w:r>
        <w:rPr>
          <w:rFonts w:ascii="仿宋" w:hAnsi="仿宋" w:eastAsia="仿宋" w:cs="方正仿宋简体"/>
          <w:bCs/>
          <w:sz w:val="28"/>
          <w:szCs w:val="28"/>
        </w:rPr>
        <w:t>交通公路网</w:t>
      </w:r>
      <w:r>
        <w:rPr>
          <w:rFonts w:hint="eastAsia" w:ascii="仿宋" w:hAnsi="仿宋" w:eastAsia="仿宋" w:cs="方正仿宋简体"/>
          <w:bCs/>
          <w:sz w:val="28"/>
          <w:szCs w:val="28"/>
        </w:rPr>
        <w:t>、</w:t>
      </w:r>
      <w:r>
        <w:rPr>
          <w:rFonts w:ascii="仿宋" w:hAnsi="仿宋" w:eastAsia="仿宋" w:cs="方正仿宋简体"/>
          <w:bCs/>
          <w:sz w:val="28"/>
          <w:szCs w:val="28"/>
        </w:rPr>
        <w:t>高铁城际网、环渤海世界级港口群和京津冀世界级</w:t>
      </w:r>
      <w:r>
        <w:rPr>
          <w:rFonts w:hint="eastAsia" w:ascii="仿宋" w:hAnsi="仿宋" w:eastAsia="仿宋" w:cs="方正仿宋简体"/>
          <w:bCs/>
          <w:sz w:val="28"/>
          <w:szCs w:val="28"/>
        </w:rPr>
        <w:t>机场</w:t>
      </w:r>
      <w:r>
        <w:rPr>
          <w:rFonts w:ascii="仿宋" w:hAnsi="仿宋" w:eastAsia="仿宋" w:cs="方正仿宋简体"/>
          <w:bCs/>
          <w:sz w:val="28"/>
          <w:szCs w:val="28"/>
        </w:rPr>
        <w:t>群</w:t>
      </w:r>
      <w:r>
        <w:rPr>
          <w:rFonts w:hint="eastAsia" w:ascii="仿宋" w:hAnsi="仿宋" w:eastAsia="仿宋" w:cs="方正仿宋简体"/>
          <w:bCs/>
          <w:sz w:val="28"/>
          <w:szCs w:val="28"/>
        </w:rPr>
        <w:t>”</w:t>
      </w:r>
      <w:r>
        <w:rPr>
          <w:rFonts w:ascii="仿宋" w:hAnsi="仿宋" w:eastAsia="仿宋" w:cs="方正仿宋简体"/>
          <w:bCs/>
          <w:sz w:val="28"/>
          <w:szCs w:val="28"/>
        </w:rPr>
        <w:t>，成为京津冀重要交通支点，全面推进高速和国道</w:t>
      </w:r>
      <w:r>
        <w:rPr>
          <w:rFonts w:hint="eastAsia" w:ascii="仿宋" w:hAnsi="仿宋" w:eastAsia="仿宋" w:cs="方正仿宋简体"/>
          <w:bCs/>
          <w:sz w:val="28"/>
          <w:szCs w:val="28"/>
        </w:rPr>
        <w:t>“</w:t>
      </w:r>
      <w:r>
        <w:rPr>
          <w:rFonts w:ascii="仿宋" w:hAnsi="仿宋" w:eastAsia="仿宋" w:cs="方正仿宋简体"/>
          <w:bCs/>
          <w:sz w:val="28"/>
          <w:szCs w:val="28"/>
        </w:rPr>
        <w:t>双大外环</w:t>
      </w:r>
      <w:r>
        <w:rPr>
          <w:rFonts w:hint="eastAsia" w:ascii="仿宋" w:hAnsi="仿宋" w:eastAsia="仿宋" w:cs="方正仿宋简体"/>
          <w:bCs/>
          <w:sz w:val="28"/>
          <w:szCs w:val="28"/>
        </w:rPr>
        <w:t>”</w:t>
      </w:r>
      <w:r>
        <w:rPr>
          <w:rFonts w:ascii="仿宋" w:hAnsi="仿宋" w:eastAsia="仿宋" w:cs="方正仿宋简体"/>
          <w:bCs/>
          <w:sz w:val="28"/>
          <w:szCs w:val="28"/>
        </w:rPr>
        <w:t>建设；综合运输服务品质明显提升，构建形成</w:t>
      </w:r>
      <w:r>
        <w:rPr>
          <w:rFonts w:hint="eastAsia" w:ascii="仿宋" w:hAnsi="仿宋" w:eastAsia="仿宋" w:cs="方正仿宋简体"/>
          <w:bCs/>
          <w:sz w:val="28"/>
          <w:szCs w:val="28"/>
        </w:rPr>
        <w:t>“</w:t>
      </w:r>
      <w:r>
        <w:rPr>
          <w:rFonts w:ascii="仿宋" w:hAnsi="仿宋" w:eastAsia="仿宋" w:cs="方正仿宋简体"/>
          <w:bCs/>
          <w:sz w:val="28"/>
          <w:szCs w:val="28"/>
        </w:rPr>
        <w:t>唐山</w:t>
      </w:r>
      <w:r>
        <w:rPr>
          <w:rFonts w:hint="eastAsia" w:ascii="仿宋" w:hAnsi="仿宋" w:eastAsia="仿宋" w:cs="方正仿宋简体"/>
          <w:bCs/>
          <w:sz w:val="28"/>
          <w:szCs w:val="28"/>
        </w:rPr>
        <w:t>36180出</w:t>
      </w:r>
      <w:r>
        <w:rPr>
          <w:rFonts w:ascii="仿宋" w:hAnsi="仿宋" w:eastAsia="仿宋" w:cs="方正仿宋简体"/>
          <w:bCs/>
          <w:sz w:val="28"/>
          <w:szCs w:val="28"/>
        </w:rPr>
        <w:t>行</w:t>
      </w:r>
      <w:r>
        <w:rPr>
          <w:rFonts w:hint="eastAsia" w:ascii="仿宋" w:hAnsi="仿宋" w:eastAsia="仿宋" w:cs="方正仿宋简体"/>
          <w:bCs/>
          <w:sz w:val="28"/>
          <w:szCs w:val="28"/>
        </w:rPr>
        <w:t>圈”。</w:t>
      </w:r>
      <w:r>
        <w:rPr>
          <w:rFonts w:ascii="仿宋" w:hAnsi="仿宋" w:eastAsia="仿宋" w:cs="方正仿宋简体"/>
          <w:bCs/>
          <w:sz w:val="28"/>
          <w:szCs w:val="28"/>
        </w:rPr>
        <w:t>以</w:t>
      </w:r>
      <w:r>
        <w:rPr>
          <w:rFonts w:hint="eastAsia" w:ascii="仿宋" w:hAnsi="仿宋" w:eastAsia="仿宋" w:cs="方正仿宋简体"/>
          <w:bCs/>
          <w:sz w:val="28"/>
          <w:szCs w:val="28"/>
        </w:rPr>
        <w:t>“2233”</w:t>
      </w:r>
      <w:r>
        <w:rPr>
          <w:rFonts w:ascii="仿宋" w:hAnsi="仿宋" w:eastAsia="仿宋" w:cs="方正仿宋简体"/>
          <w:bCs/>
          <w:sz w:val="28"/>
          <w:szCs w:val="28"/>
        </w:rPr>
        <w:t>为发展目标，奋力谱写交通强国唐山篇章，基本</w:t>
      </w:r>
      <w:r>
        <w:rPr>
          <w:rFonts w:hint="eastAsia" w:ascii="仿宋" w:hAnsi="仿宋" w:eastAsia="仿宋" w:cs="方正仿宋简体"/>
          <w:bCs/>
          <w:sz w:val="28"/>
          <w:szCs w:val="28"/>
        </w:rPr>
        <w:t>建</w:t>
      </w:r>
      <w:r>
        <w:rPr>
          <w:rFonts w:ascii="仿宋" w:hAnsi="仿宋" w:eastAsia="仿宋" w:cs="方正仿宋简体"/>
          <w:bCs/>
          <w:sz w:val="28"/>
          <w:szCs w:val="28"/>
        </w:rPr>
        <w:t>成安全、</w:t>
      </w:r>
      <w:r>
        <w:rPr>
          <w:rFonts w:hint="eastAsia" w:ascii="仿宋" w:hAnsi="仿宋" w:eastAsia="仿宋" w:cs="方正仿宋简体"/>
          <w:bCs/>
          <w:sz w:val="28"/>
          <w:szCs w:val="28"/>
        </w:rPr>
        <w:t>便捷</w:t>
      </w:r>
      <w:r>
        <w:rPr>
          <w:rFonts w:ascii="仿宋" w:hAnsi="仿宋" w:eastAsia="仿宋" w:cs="方正仿宋简体"/>
          <w:bCs/>
          <w:sz w:val="28"/>
          <w:szCs w:val="28"/>
        </w:rPr>
        <w:t>、高效、绿色、经济的现代化综合交通体系，综合交通网络系统性、与经济社会发展</w:t>
      </w:r>
      <w:r>
        <w:rPr>
          <w:rFonts w:hint="eastAsia" w:ascii="仿宋" w:hAnsi="仿宋" w:eastAsia="仿宋" w:cs="方正仿宋简体"/>
          <w:bCs/>
          <w:sz w:val="28"/>
          <w:szCs w:val="28"/>
        </w:rPr>
        <w:t>协</w:t>
      </w:r>
      <w:r>
        <w:rPr>
          <w:rFonts w:ascii="仿宋" w:hAnsi="仿宋" w:eastAsia="仿宋" w:cs="方正仿宋简体"/>
          <w:bCs/>
          <w:sz w:val="28"/>
          <w:szCs w:val="28"/>
        </w:rPr>
        <w:t>同性明显提升，为打造繁荣舒适</w:t>
      </w:r>
      <w:r>
        <w:rPr>
          <w:rFonts w:hint="eastAsia" w:ascii="仿宋" w:hAnsi="仿宋" w:eastAsia="仿宋" w:cs="方正仿宋简体"/>
          <w:bCs/>
          <w:sz w:val="28"/>
          <w:szCs w:val="28"/>
        </w:rPr>
        <w:t>美丽</w:t>
      </w:r>
      <w:r>
        <w:rPr>
          <w:rFonts w:ascii="仿宋" w:hAnsi="仿宋" w:eastAsia="仿宋" w:cs="方正仿宋简体"/>
          <w:bCs/>
          <w:sz w:val="28"/>
          <w:szCs w:val="28"/>
        </w:rPr>
        <w:t>的现代化沿海强市提供坚强支撑。</w:t>
      </w:r>
    </w:p>
    <w:p>
      <w:pPr>
        <w:adjustRightInd w:val="0"/>
        <w:snapToGrid w:val="0"/>
        <w:spacing w:line="600" w:lineRule="exact"/>
        <w:ind w:firstLine="562" w:firstLineChars="200"/>
        <w:rPr>
          <w:rFonts w:ascii="仿宋" w:hAnsi="仿宋" w:eastAsia="仿宋" w:cs="方正仿宋简体"/>
          <w:b/>
          <w:bCs/>
          <w:sz w:val="28"/>
          <w:szCs w:val="28"/>
        </w:rPr>
      </w:pPr>
      <w:r>
        <w:rPr>
          <w:rFonts w:hint="eastAsia" w:ascii="仿宋" w:hAnsi="仿宋" w:eastAsia="仿宋" w:cs="方正仿宋简体"/>
          <w:b/>
          <w:bCs/>
          <w:sz w:val="28"/>
          <w:szCs w:val="28"/>
        </w:rPr>
        <w:t>二</w:t>
      </w:r>
      <w:r>
        <w:rPr>
          <w:rFonts w:ascii="仿宋" w:hAnsi="仿宋" w:eastAsia="仿宋" w:cs="方正仿宋简体"/>
          <w:b/>
          <w:bCs/>
          <w:sz w:val="28"/>
          <w:szCs w:val="28"/>
        </w:rPr>
        <w:t>、分项绩效目标</w:t>
      </w:r>
    </w:p>
    <w:p>
      <w:pPr>
        <w:adjustRightInd w:val="0"/>
        <w:snapToGrid w:val="0"/>
        <w:spacing w:line="600" w:lineRule="exact"/>
        <w:ind w:firstLine="560" w:firstLineChars="200"/>
        <w:rPr>
          <w:rFonts w:ascii="仿宋" w:hAnsi="仿宋" w:eastAsia="仿宋" w:cs="方正仿宋简体"/>
          <w:bCs/>
          <w:sz w:val="28"/>
          <w:szCs w:val="28"/>
        </w:rPr>
      </w:pPr>
      <w:r>
        <w:rPr>
          <w:rFonts w:hint="eastAsia" w:ascii="仿宋" w:hAnsi="仿宋" w:eastAsia="仿宋" w:cs="方正仿宋简体"/>
          <w:bCs/>
          <w:sz w:val="28"/>
          <w:szCs w:val="28"/>
        </w:rPr>
        <w:t>（</w:t>
      </w:r>
      <w:r>
        <w:rPr>
          <w:rFonts w:ascii="仿宋" w:hAnsi="仿宋" w:eastAsia="仿宋" w:cs="方正仿宋简体"/>
          <w:bCs/>
          <w:sz w:val="28"/>
          <w:szCs w:val="28"/>
        </w:rPr>
        <w:t>一）</w:t>
      </w:r>
      <w:r>
        <w:rPr>
          <w:rFonts w:hint="eastAsia" w:ascii="仿宋" w:hAnsi="仿宋" w:eastAsia="仿宋"/>
          <w:sz w:val="28"/>
          <w:szCs w:val="28"/>
        </w:rPr>
        <w:t>做好交通运输基础设施养护、维护工作</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绩效目标：组织交通运输基础设施养护、维护，对招投标活动进行监督管理。对普通干线（非收费）公路进行公路养护管理工作，对公路及设施及时维修养护，确保公路安全运营。完成202</w:t>
      </w:r>
      <w:r>
        <w:rPr>
          <w:rFonts w:hint="eastAsia" w:ascii="仿宋" w:hAnsi="仿宋" w:eastAsia="仿宋"/>
          <w:sz w:val="28"/>
          <w:szCs w:val="28"/>
          <w:lang w:val="en-US" w:eastAsia="zh-CN"/>
        </w:rPr>
        <w:t>2</w:t>
      </w:r>
      <w:r>
        <w:rPr>
          <w:rFonts w:hint="eastAsia" w:ascii="仿宋" w:hAnsi="仿宋" w:eastAsia="仿宋"/>
          <w:sz w:val="28"/>
          <w:szCs w:val="28"/>
        </w:rPr>
        <w:t>年国省干线公路日常养护。</w:t>
      </w:r>
    </w:p>
    <w:p>
      <w:pPr>
        <w:spacing w:line="520" w:lineRule="exact"/>
        <w:ind w:left="105" w:leftChars="50" w:firstLine="560" w:firstLineChars="200"/>
        <w:rPr>
          <w:rFonts w:ascii="仿宋" w:hAnsi="仿宋" w:eastAsia="仿宋"/>
          <w:sz w:val="28"/>
          <w:szCs w:val="28"/>
        </w:rPr>
      </w:pPr>
      <w:r>
        <w:rPr>
          <w:rFonts w:hint="eastAsia" w:ascii="仿宋" w:hAnsi="仿宋" w:eastAsia="仿宋"/>
          <w:sz w:val="28"/>
          <w:szCs w:val="28"/>
        </w:rPr>
        <w:t>绩效指标：完成10项干线公路小修工</w:t>
      </w:r>
      <w:r>
        <w:rPr>
          <w:rFonts w:ascii="仿宋" w:hAnsi="仿宋" w:eastAsia="仿宋"/>
          <w:sz w:val="28"/>
          <w:szCs w:val="28"/>
        </w:rPr>
        <w:t>作</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3项</w:t>
      </w:r>
      <w:r>
        <w:rPr>
          <w:rFonts w:ascii="仿宋" w:hAnsi="仿宋" w:eastAsia="仿宋"/>
          <w:sz w:val="28"/>
          <w:szCs w:val="28"/>
        </w:rPr>
        <w:t>线</w:t>
      </w:r>
      <w:r>
        <w:rPr>
          <w:rFonts w:hint="eastAsia" w:ascii="仿宋" w:hAnsi="仿宋" w:eastAsia="仿宋"/>
          <w:sz w:val="28"/>
          <w:szCs w:val="28"/>
        </w:rPr>
        <w:t>公</w:t>
      </w:r>
      <w:r>
        <w:rPr>
          <w:rFonts w:ascii="仿宋" w:hAnsi="仿宋" w:eastAsia="仿宋"/>
          <w:sz w:val="28"/>
          <w:szCs w:val="28"/>
        </w:rPr>
        <w:t>路养护</w:t>
      </w:r>
      <w:r>
        <w:rPr>
          <w:rFonts w:hint="eastAsia" w:ascii="仿宋" w:hAnsi="仿宋" w:eastAsia="仿宋"/>
          <w:sz w:val="28"/>
          <w:szCs w:val="28"/>
        </w:rPr>
        <w:t>工作；完成1条国省干线公路养护工</w:t>
      </w:r>
      <w:r>
        <w:rPr>
          <w:rFonts w:ascii="仿宋" w:hAnsi="仿宋" w:eastAsia="仿宋"/>
          <w:sz w:val="28"/>
          <w:szCs w:val="28"/>
        </w:rPr>
        <w:t>作</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二）</w:t>
      </w:r>
      <w:r>
        <w:rPr>
          <w:rFonts w:hint="eastAsia" w:ascii="仿宋" w:hAnsi="仿宋" w:eastAsia="仿宋"/>
          <w:sz w:val="28"/>
          <w:szCs w:val="28"/>
        </w:rPr>
        <w:t>做</w:t>
      </w:r>
      <w:r>
        <w:rPr>
          <w:rFonts w:ascii="仿宋" w:hAnsi="仿宋" w:eastAsia="仿宋"/>
          <w:sz w:val="28"/>
          <w:szCs w:val="28"/>
        </w:rPr>
        <w:t>好</w:t>
      </w:r>
      <w:r>
        <w:rPr>
          <w:rFonts w:hint="eastAsia" w:ascii="仿宋" w:hAnsi="仿宋" w:eastAsia="仿宋"/>
          <w:sz w:val="28"/>
          <w:szCs w:val="28"/>
        </w:rPr>
        <w:t>交通</w:t>
      </w:r>
      <w:r>
        <w:rPr>
          <w:rFonts w:ascii="仿宋" w:hAnsi="仿宋" w:eastAsia="仿宋"/>
          <w:sz w:val="28"/>
          <w:szCs w:val="28"/>
        </w:rPr>
        <w:t>运输管理工作</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绩效目标：对全市公路及其设施的建设和养护进行管理；对全市公路、水路、地方铁路运输市场进行监管，指导城乡客运及有关设施规划和管理，指导出租汽车行业管理；组织协调全市民航行业发展管理工作。</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绩效指标：完成农村公</w:t>
      </w:r>
      <w:r>
        <w:rPr>
          <w:rFonts w:ascii="仿宋" w:hAnsi="仿宋" w:eastAsia="仿宋"/>
          <w:sz w:val="28"/>
          <w:szCs w:val="28"/>
        </w:rPr>
        <w:t>路补助</w:t>
      </w:r>
      <w:r>
        <w:rPr>
          <w:rFonts w:hint="eastAsia" w:ascii="仿宋" w:hAnsi="仿宋" w:eastAsia="仿宋"/>
          <w:sz w:val="28"/>
          <w:szCs w:val="28"/>
        </w:rPr>
        <w:t>17576.18公</w:t>
      </w:r>
      <w:r>
        <w:rPr>
          <w:rFonts w:ascii="仿宋" w:hAnsi="仿宋" w:eastAsia="仿宋"/>
          <w:sz w:val="28"/>
          <w:szCs w:val="28"/>
        </w:rPr>
        <w:t>里；</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400辆</w:t>
      </w:r>
      <w:r>
        <w:rPr>
          <w:rFonts w:ascii="仿宋" w:hAnsi="仿宋" w:eastAsia="仿宋"/>
          <w:sz w:val="28"/>
          <w:szCs w:val="28"/>
        </w:rPr>
        <w:t>新能源出租车</w:t>
      </w:r>
      <w:r>
        <w:rPr>
          <w:rFonts w:hint="eastAsia" w:ascii="仿宋" w:hAnsi="仿宋" w:eastAsia="仿宋"/>
          <w:sz w:val="28"/>
          <w:szCs w:val="28"/>
        </w:rPr>
        <w:t>更换工</w:t>
      </w:r>
      <w:r>
        <w:rPr>
          <w:rFonts w:ascii="仿宋" w:hAnsi="仿宋" w:eastAsia="仿宋"/>
          <w:sz w:val="28"/>
          <w:szCs w:val="28"/>
        </w:rPr>
        <w:t>作</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5个</w:t>
      </w:r>
      <w:r>
        <w:rPr>
          <w:rFonts w:ascii="仿宋" w:hAnsi="仿宋" w:eastAsia="仿宋"/>
          <w:sz w:val="28"/>
          <w:szCs w:val="28"/>
        </w:rPr>
        <w:t>治超站场地租赁</w:t>
      </w:r>
      <w:r>
        <w:rPr>
          <w:rFonts w:hint="eastAsia" w:ascii="仿宋" w:hAnsi="仿宋" w:eastAsia="仿宋"/>
          <w:sz w:val="28"/>
          <w:szCs w:val="28"/>
        </w:rPr>
        <w:t>工</w:t>
      </w:r>
      <w:r>
        <w:rPr>
          <w:rFonts w:ascii="仿宋" w:hAnsi="仿宋" w:eastAsia="仿宋"/>
          <w:sz w:val="28"/>
          <w:szCs w:val="28"/>
        </w:rPr>
        <w:t>作</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机场</w:t>
      </w:r>
      <w:r>
        <w:rPr>
          <w:rFonts w:ascii="仿宋" w:hAnsi="仿宋" w:eastAsia="仿宋"/>
          <w:sz w:val="28"/>
          <w:szCs w:val="28"/>
        </w:rPr>
        <w:t>消防车</w:t>
      </w:r>
      <w:r>
        <w:rPr>
          <w:rFonts w:hint="eastAsia" w:ascii="仿宋" w:hAnsi="仿宋" w:eastAsia="仿宋"/>
          <w:sz w:val="28"/>
          <w:szCs w:val="28"/>
        </w:rPr>
        <w:t>、火</w:t>
      </w:r>
      <w:r>
        <w:rPr>
          <w:rFonts w:ascii="仿宋" w:hAnsi="仿宋" w:eastAsia="仿宋"/>
          <w:sz w:val="28"/>
          <w:szCs w:val="28"/>
        </w:rPr>
        <w:t>场照明车</w:t>
      </w:r>
      <w:r>
        <w:rPr>
          <w:rFonts w:hint="eastAsia" w:ascii="仿宋" w:hAnsi="仿宋" w:eastAsia="仿宋"/>
          <w:sz w:val="28"/>
          <w:szCs w:val="28"/>
        </w:rPr>
        <w:t>替换</w:t>
      </w:r>
      <w:r>
        <w:rPr>
          <w:rFonts w:ascii="仿宋" w:hAnsi="仿宋" w:eastAsia="仿宋"/>
          <w:sz w:val="28"/>
          <w:szCs w:val="28"/>
        </w:rPr>
        <w:t>工作</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三）</w:t>
      </w:r>
      <w:r>
        <w:rPr>
          <w:rFonts w:hint="eastAsia" w:ascii="仿宋" w:hAnsi="仿宋" w:eastAsia="仿宋"/>
          <w:sz w:val="28"/>
          <w:szCs w:val="28"/>
        </w:rPr>
        <w:t>做</w:t>
      </w:r>
      <w:r>
        <w:rPr>
          <w:rFonts w:ascii="仿宋" w:hAnsi="仿宋" w:eastAsia="仿宋"/>
          <w:sz w:val="28"/>
          <w:szCs w:val="28"/>
        </w:rPr>
        <w:t>好交通</w:t>
      </w:r>
      <w:r>
        <w:rPr>
          <w:rFonts w:hint="eastAsia" w:ascii="仿宋" w:hAnsi="仿宋" w:eastAsia="仿宋"/>
          <w:sz w:val="28"/>
          <w:szCs w:val="28"/>
        </w:rPr>
        <w:t>运输</w:t>
      </w:r>
      <w:r>
        <w:rPr>
          <w:rFonts w:ascii="仿宋" w:hAnsi="仿宋" w:eastAsia="仿宋"/>
          <w:sz w:val="28"/>
          <w:szCs w:val="28"/>
        </w:rPr>
        <w:t>基础</w:t>
      </w:r>
      <w:r>
        <w:rPr>
          <w:rFonts w:hint="eastAsia" w:ascii="仿宋" w:hAnsi="仿宋" w:eastAsia="仿宋"/>
          <w:sz w:val="28"/>
          <w:szCs w:val="28"/>
        </w:rPr>
        <w:t>设施</w:t>
      </w:r>
      <w:r>
        <w:rPr>
          <w:rFonts w:ascii="仿宋" w:hAnsi="仿宋" w:eastAsia="仿宋"/>
          <w:sz w:val="28"/>
          <w:szCs w:val="28"/>
        </w:rPr>
        <w:t>建设工作</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绩效</w:t>
      </w:r>
      <w:r>
        <w:rPr>
          <w:rFonts w:ascii="仿宋" w:hAnsi="仿宋" w:eastAsia="仿宋"/>
          <w:sz w:val="28"/>
          <w:szCs w:val="28"/>
        </w:rPr>
        <w:t>目</w:t>
      </w:r>
      <w:r>
        <w:rPr>
          <w:rFonts w:hint="eastAsia" w:ascii="仿宋" w:hAnsi="仿宋" w:eastAsia="仿宋"/>
          <w:sz w:val="28"/>
          <w:szCs w:val="28"/>
        </w:rPr>
        <w:t>标</w:t>
      </w:r>
      <w:r>
        <w:rPr>
          <w:rFonts w:ascii="仿宋" w:hAnsi="仿宋" w:eastAsia="仿宋"/>
          <w:sz w:val="28"/>
          <w:szCs w:val="28"/>
        </w:rPr>
        <w:t>：</w:t>
      </w:r>
      <w:r>
        <w:rPr>
          <w:rFonts w:hint="eastAsia" w:ascii="仿宋" w:hAnsi="仿宋" w:eastAsia="仿宋"/>
          <w:sz w:val="28"/>
          <w:szCs w:val="28"/>
        </w:rPr>
        <w:t>对</w:t>
      </w:r>
      <w:r>
        <w:rPr>
          <w:rFonts w:ascii="仿宋" w:hAnsi="仿宋" w:eastAsia="仿宋"/>
          <w:sz w:val="28"/>
          <w:szCs w:val="28"/>
        </w:rPr>
        <w:t>全市民航行业发展建设和管理的</w:t>
      </w:r>
      <w:r>
        <w:rPr>
          <w:rFonts w:hint="eastAsia" w:ascii="仿宋" w:hAnsi="仿宋" w:eastAsia="仿宋"/>
          <w:sz w:val="28"/>
          <w:szCs w:val="28"/>
        </w:rPr>
        <w:t>组织</w:t>
      </w:r>
      <w:r>
        <w:rPr>
          <w:rFonts w:ascii="仿宋" w:hAnsi="仿宋" w:eastAsia="仿宋"/>
          <w:sz w:val="28"/>
          <w:szCs w:val="28"/>
        </w:rPr>
        <w:t>协调</w:t>
      </w:r>
      <w:r>
        <w:rPr>
          <w:rFonts w:hint="eastAsia" w:ascii="仿宋" w:hAnsi="仿宋" w:eastAsia="仿宋"/>
          <w:sz w:val="28"/>
          <w:szCs w:val="28"/>
        </w:rPr>
        <w:t>；</w:t>
      </w:r>
      <w:r>
        <w:rPr>
          <w:rFonts w:ascii="仿宋" w:hAnsi="仿宋" w:eastAsia="仿宋"/>
          <w:sz w:val="28"/>
          <w:szCs w:val="28"/>
        </w:rPr>
        <w:t>京津</w:t>
      </w:r>
      <w:r>
        <w:rPr>
          <w:rFonts w:hint="eastAsia" w:ascii="仿宋" w:hAnsi="仿宋" w:eastAsia="仿宋"/>
          <w:sz w:val="28"/>
          <w:szCs w:val="28"/>
        </w:rPr>
        <w:t>冀协</w:t>
      </w:r>
      <w:r>
        <w:rPr>
          <w:rFonts w:ascii="仿宋" w:hAnsi="仿宋" w:eastAsia="仿宋"/>
          <w:sz w:val="28"/>
          <w:szCs w:val="28"/>
        </w:rPr>
        <w:t>同发展交通一体化组织协调工作；</w:t>
      </w:r>
      <w:r>
        <w:rPr>
          <w:rFonts w:hint="eastAsia" w:ascii="仿宋" w:hAnsi="仿宋" w:eastAsia="仿宋"/>
          <w:sz w:val="28"/>
          <w:szCs w:val="28"/>
        </w:rPr>
        <w:t>对我</w:t>
      </w:r>
      <w:r>
        <w:rPr>
          <w:rFonts w:ascii="仿宋" w:hAnsi="仿宋" w:eastAsia="仿宋"/>
          <w:sz w:val="28"/>
          <w:szCs w:val="28"/>
        </w:rPr>
        <w:t>市</w:t>
      </w:r>
      <w:r>
        <w:rPr>
          <w:rFonts w:hint="eastAsia" w:ascii="仿宋" w:hAnsi="仿宋" w:eastAsia="仿宋"/>
          <w:sz w:val="28"/>
          <w:szCs w:val="28"/>
        </w:rPr>
        <w:t>公</w:t>
      </w:r>
      <w:r>
        <w:rPr>
          <w:rFonts w:ascii="仿宋" w:hAnsi="仿宋" w:eastAsia="仿宋"/>
          <w:sz w:val="28"/>
          <w:szCs w:val="28"/>
        </w:rPr>
        <w:t>路</w:t>
      </w:r>
      <w:r>
        <w:rPr>
          <w:rFonts w:hint="eastAsia" w:ascii="仿宋" w:hAnsi="仿宋" w:eastAsia="仿宋"/>
          <w:sz w:val="28"/>
          <w:szCs w:val="28"/>
        </w:rPr>
        <w:t>发展</w:t>
      </w:r>
      <w:r>
        <w:rPr>
          <w:rFonts w:ascii="仿宋" w:hAnsi="仿宋" w:eastAsia="仿宋"/>
          <w:sz w:val="28"/>
          <w:szCs w:val="28"/>
        </w:rPr>
        <w:t>建设</w:t>
      </w:r>
      <w:r>
        <w:rPr>
          <w:rFonts w:hint="eastAsia" w:ascii="仿宋" w:hAnsi="仿宋" w:eastAsia="仿宋"/>
          <w:sz w:val="28"/>
          <w:szCs w:val="28"/>
        </w:rPr>
        <w:t>和</w:t>
      </w:r>
      <w:r>
        <w:rPr>
          <w:rFonts w:ascii="仿宋" w:hAnsi="仿宋" w:eastAsia="仿宋"/>
          <w:sz w:val="28"/>
          <w:szCs w:val="28"/>
        </w:rPr>
        <w:t>管理组织协调</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绩效</w:t>
      </w:r>
      <w:r>
        <w:rPr>
          <w:rFonts w:ascii="仿宋" w:hAnsi="仿宋" w:eastAsia="仿宋"/>
          <w:sz w:val="28"/>
          <w:szCs w:val="28"/>
        </w:rPr>
        <w:t>指标：</w:t>
      </w:r>
      <w:r>
        <w:rPr>
          <w:rFonts w:hint="eastAsia" w:ascii="仿宋" w:hAnsi="仿宋" w:eastAsia="仿宋"/>
          <w:sz w:val="28"/>
          <w:szCs w:val="28"/>
        </w:rPr>
        <w:t>完</w:t>
      </w:r>
      <w:r>
        <w:rPr>
          <w:rFonts w:ascii="仿宋" w:hAnsi="仿宋" w:eastAsia="仿宋"/>
          <w:sz w:val="28"/>
          <w:szCs w:val="28"/>
        </w:rPr>
        <w:t>成机场出港旅客接待</w:t>
      </w:r>
      <w:r>
        <w:rPr>
          <w:rFonts w:hint="eastAsia" w:ascii="仿宋" w:hAnsi="仿宋" w:eastAsia="仿宋"/>
          <w:sz w:val="28"/>
          <w:szCs w:val="28"/>
        </w:rPr>
        <w:t>68万</w:t>
      </w:r>
      <w:r>
        <w:rPr>
          <w:rFonts w:ascii="仿宋" w:hAnsi="仿宋" w:eastAsia="仿宋"/>
          <w:sz w:val="28"/>
          <w:szCs w:val="28"/>
        </w:rPr>
        <w:t>人次；</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开</w:t>
      </w:r>
      <w:r>
        <w:rPr>
          <w:rFonts w:ascii="仿宋" w:hAnsi="仿宋" w:eastAsia="仿宋"/>
          <w:sz w:val="28"/>
          <w:szCs w:val="28"/>
        </w:rPr>
        <w:t>通机场</w:t>
      </w:r>
      <w:r>
        <w:rPr>
          <w:rFonts w:hint="eastAsia" w:ascii="仿宋" w:hAnsi="仿宋" w:eastAsia="仿宋"/>
          <w:sz w:val="28"/>
          <w:szCs w:val="28"/>
        </w:rPr>
        <w:t>3个热</w:t>
      </w:r>
      <w:r>
        <w:rPr>
          <w:rFonts w:ascii="仿宋" w:hAnsi="仿宋" w:eastAsia="仿宋"/>
          <w:sz w:val="28"/>
          <w:szCs w:val="28"/>
        </w:rPr>
        <w:t>点</w:t>
      </w:r>
      <w:r>
        <w:rPr>
          <w:rFonts w:hint="eastAsia" w:ascii="仿宋" w:hAnsi="仿宋" w:eastAsia="仿宋"/>
          <w:sz w:val="28"/>
          <w:szCs w:val="28"/>
        </w:rPr>
        <w:t>城市</w:t>
      </w:r>
      <w:r>
        <w:rPr>
          <w:rFonts w:ascii="仿宋" w:hAnsi="仿宋" w:eastAsia="仿宋"/>
          <w:sz w:val="28"/>
          <w:szCs w:val="28"/>
        </w:rPr>
        <w:t>航线；</w:t>
      </w:r>
      <w:r>
        <w:rPr>
          <w:rFonts w:hint="eastAsia" w:ascii="仿宋" w:hAnsi="仿宋" w:eastAsia="仿宋"/>
          <w:sz w:val="28"/>
          <w:szCs w:val="28"/>
        </w:rPr>
        <w:t>完</w:t>
      </w:r>
      <w:r>
        <w:rPr>
          <w:rFonts w:ascii="仿宋" w:hAnsi="仿宋" w:eastAsia="仿宋"/>
          <w:sz w:val="28"/>
          <w:szCs w:val="28"/>
        </w:rPr>
        <w:t>成机场</w:t>
      </w:r>
      <w:r>
        <w:rPr>
          <w:rFonts w:hint="eastAsia" w:ascii="仿宋" w:hAnsi="仿宋" w:eastAsia="仿宋"/>
          <w:sz w:val="28"/>
          <w:szCs w:val="28"/>
        </w:rPr>
        <w:t>扩建</w:t>
      </w:r>
      <w:r>
        <w:rPr>
          <w:rFonts w:ascii="仿宋" w:hAnsi="仿宋" w:eastAsia="仿宋"/>
          <w:sz w:val="28"/>
          <w:szCs w:val="28"/>
        </w:rPr>
        <w:t>整体规划编制</w:t>
      </w:r>
      <w:r>
        <w:rPr>
          <w:rFonts w:hint="eastAsia" w:ascii="仿宋" w:hAnsi="仿宋" w:eastAsia="仿宋"/>
          <w:sz w:val="28"/>
          <w:szCs w:val="28"/>
        </w:rPr>
        <w:t>工</w:t>
      </w:r>
      <w:r>
        <w:rPr>
          <w:rFonts w:ascii="仿宋" w:hAnsi="仿宋" w:eastAsia="仿宋"/>
          <w:sz w:val="28"/>
          <w:szCs w:val="28"/>
        </w:rPr>
        <w:t>作；</w:t>
      </w:r>
      <w:r>
        <w:rPr>
          <w:rFonts w:hint="eastAsia" w:ascii="仿宋" w:hAnsi="仿宋" w:eastAsia="仿宋"/>
          <w:sz w:val="28"/>
          <w:szCs w:val="28"/>
        </w:rPr>
        <w:t>完</w:t>
      </w:r>
      <w:r>
        <w:rPr>
          <w:rFonts w:ascii="仿宋" w:hAnsi="仿宋" w:eastAsia="仿宋"/>
          <w:sz w:val="28"/>
          <w:szCs w:val="28"/>
        </w:rPr>
        <w:t>成</w:t>
      </w:r>
      <w:r>
        <w:rPr>
          <w:rFonts w:hint="eastAsia" w:ascii="仿宋" w:hAnsi="仿宋" w:eastAsia="仿宋"/>
          <w:sz w:val="28"/>
          <w:szCs w:val="28"/>
        </w:rPr>
        <w:t>2个</w:t>
      </w:r>
      <w:r>
        <w:rPr>
          <w:rFonts w:ascii="仿宋" w:hAnsi="仿宋" w:eastAsia="仿宋"/>
          <w:sz w:val="28"/>
          <w:szCs w:val="28"/>
        </w:rPr>
        <w:t>重点项</w:t>
      </w:r>
      <w:r>
        <w:rPr>
          <w:rFonts w:hint="eastAsia" w:ascii="仿宋" w:hAnsi="仿宋" w:eastAsia="仿宋"/>
          <w:sz w:val="28"/>
          <w:szCs w:val="28"/>
        </w:rPr>
        <w:t>目前</w:t>
      </w:r>
      <w:r>
        <w:rPr>
          <w:rFonts w:ascii="仿宋" w:hAnsi="仿宋" w:eastAsia="仿宋"/>
          <w:sz w:val="28"/>
          <w:szCs w:val="28"/>
        </w:rPr>
        <w:t>期建设</w:t>
      </w:r>
      <w:r>
        <w:rPr>
          <w:rFonts w:hint="eastAsia" w:ascii="仿宋" w:hAnsi="仿宋" w:eastAsia="仿宋"/>
          <w:sz w:val="28"/>
          <w:szCs w:val="28"/>
        </w:rPr>
        <w:t>。</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工作保</w:t>
      </w:r>
      <w:r>
        <w:rPr>
          <w:rFonts w:hint="eastAsia" w:ascii="仿宋" w:hAnsi="仿宋" w:eastAsia="仿宋"/>
          <w:b/>
          <w:sz w:val="28"/>
          <w:szCs w:val="28"/>
        </w:rPr>
        <w:t>障</w:t>
      </w:r>
      <w:r>
        <w:rPr>
          <w:rFonts w:ascii="仿宋" w:hAnsi="仿宋" w:eastAsia="仿宋"/>
          <w:b/>
          <w:sz w:val="28"/>
          <w:szCs w:val="28"/>
        </w:rPr>
        <w:t>措施</w:t>
      </w:r>
    </w:p>
    <w:p>
      <w:pPr>
        <w:spacing w:line="580" w:lineRule="exact"/>
        <w:ind w:firstLine="562" w:firstLineChars="2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一）完善制度建设。</w:t>
      </w:r>
    </w:p>
    <w:p>
      <w:pPr>
        <w:spacing w:line="580" w:lineRule="exact"/>
        <w:ind w:firstLine="560" w:firstLineChars="200"/>
        <w:rPr>
          <w:rFonts w:ascii="仿宋" w:hAnsi="仿宋" w:eastAsia="仿宋"/>
          <w:sz w:val="28"/>
          <w:szCs w:val="28"/>
        </w:rPr>
      </w:pPr>
      <w:r>
        <w:rPr>
          <w:rFonts w:ascii="仿宋" w:hAnsi="仿宋" w:eastAsia="仿宋"/>
          <w:sz w:val="28"/>
          <w:szCs w:val="28"/>
        </w:rPr>
        <w:t>制定完善预算绩效管理制度、资金管理办法、工作保障制度等，为全年预算绩效目标的实现奠定制度基础。</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w:t>
      </w:r>
      <w:r>
        <w:rPr>
          <w:rFonts w:ascii="仿宋" w:hAnsi="仿宋" w:eastAsia="仿宋"/>
          <w:b/>
          <w:bCs/>
          <w:sz w:val="28"/>
          <w:szCs w:val="28"/>
        </w:rPr>
        <w:t>加强支出管理。</w:t>
      </w:r>
    </w:p>
    <w:p>
      <w:pPr>
        <w:spacing w:line="580" w:lineRule="exact"/>
        <w:ind w:firstLine="560" w:firstLineChars="200"/>
        <w:rPr>
          <w:rFonts w:ascii="仿宋" w:hAnsi="仿宋" w:eastAsia="仿宋"/>
          <w:sz w:val="28"/>
          <w:szCs w:val="28"/>
        </w:rPr>
      </w:pPr>
      <w:r>
        <w:rPr>
          <w:rFonts w:ascii="仿宋" w:hAnsi="仿宋" w:eastAsia="仿宋"/>
          <w:sz w:val="28"/>
          <w:szCs w:val="28"/>
        </w:rPr>
        <w:t>通过优化支出结构、编细编实预算、加快履行政府采购手续、尽快启动项目、及时支付资金等多种措施，确保支出进度达标。</w:t>
      </w:r>
    </w:p>
    <w:p>
      <w:pPr>
        <w:spacing w:line="580" w:lineRule="exact"/>
        <w:ind w:firstLine="562" w:firstLineChars="200"/>
        <w:rPr>
          <w:rFonts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三）加强绩效运行监控。</w:t>
      </w:r>
      <w:r>
        <w:rPr>
          <w:rFonts w:ascii="仿宋" w:hAnsi="仿宋" w:eastAsia="仿宋"/>
          <w:sz w:val="28"/>
          <w:szCs w:val="28"/>
        </w:rPr>
        <w:t>按要求开展绩效运行监控，发现问题及时采取措施，确保绩效目标如期保质实现。</w:t>
      </w:r>
    </w:p>
    <w:p>
      <w:pPr>
        <w:spacing w:line="580" w:lineRule="exact"/>
        <w:ind w:firstLine="562" w:firstLineChars="2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四）做好绩效自评。</w:t>
      </w:r>
    </w:p>
    <w:p>
      <w:pPr>
        <w:spacing w:line="580" w:lineRule="exact"/>
        <w:ind w:firstLine="560" w:firstLineChars="200"/>
        <w:rPr>
          <w:rFonts w:ascii="仿宋" w:hAnsi="仿宋" w:eastAsia="仿宋"/>
          <w:sz w:val="28"/>
          <w:szCs w:val="28"/>
        </w:rPr>
      </w:pPr>
      <w:r>
        <w:rPr>
          <w:rFonts w:ascii="仿宋" w:hAnsi="仿宋" w:eastAsia="仿宋"/>
          <w:sz w:val="28"/>
          <w:szCs w:val="28"/>
        </w:rPr>
        <w:t>按要求开展上年度部门预算绩效自评和重点评价工作，对评价中发现的问题及时整改，调整优化支出结构，提高</w:t>
      </w:r>
      <w:r>
        <w:rPr>
          <w:rFonts w:hint="eastAsia" w:ascii="仿宋" w:hAnsi="仿宋" w:eastAsia="仿宋"/>
          <w:sz w:val="28"/>
          <w:szCs w:val="28"/>
        </w:rPr>
        <w:t>预算</w:t>
      </w:r>
      <w:r>
        <w:rPr>
          <w:rFonts w:ascii="仿宋" w:hAnsi="仿宋" w:eastAsia="仿宋"/>
          <w:sz w:val="28"/>
          <w:szCs w:val="28"/>
        </w:rPr>
        <w:t>资金使用效益。</w:t>
      </w:r>
    </w:p>
    <w:p>
      <w:pPr>
        <w:spacing w:line="580" w:lineRule="exact"/>
        <w:ind w:firstLine="562" w:firstLineChars="200"/>
        <w:rPr>
          <w:rFonts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五）规范财务资产管理。</w:t>
      </w:r>
    </w:p>
    <w:p>
      <w:pPr>
        <w:spacing w:line="580" w:lineRule="exact"/>
        <w:ind w:firstLine="560" w:firstLineChars="200"/>
        <w:rPr>
          <w:rFonts w:ascii="仿宋" w:hAnsi="仿宋" w:eastAsia="仿宋"/>
          <w:sz w:val="28"/>
          <w:szCs w:val="28"/>
        </w:rPr>
      </w:pPr>
      <w:r>
        <w:rPr>
          <w:rFonts w:ascii="仿宋" w:hAnsi="仿宋" w:eastAsia="仿宋"/>
          <w:sz w:val="28"/>
          <w:szCs w:val="28"/>
        </w:rPr>
        <w:t>完善财务管理制度，严格审批程序，加强固定资产登记、使用和报废处置管理，做到支出合理，物尽其用。</w:t>
      </w:r>
    </w:p>
    <w:p>
      <w:pPr>
        <w:spacing w:line="580" w:lineRule="exact"/>
        <w:ind w:firstLine="562" w:firstLineChars="200"/>
        <w:rPr>
          <w:rFonts w:ascii="仿宋" w:hAnsi="仿宋" w:eastAsia="仿宋"/>
          <w:sz w:val="28"/>
          <w:szCs w:val="28"/>
        </w:rPr>
      </w:pPr>
      <w:r>
        <w:rPr>
          <w:rFonts w:hint="eastAsia" w:ascii="仿宋" w:hAnsi="仿宋" w:eastAsia="仿宋"/>
          <w:b/>
          <w:bCs/>
          <w:sz w:val="28"/>
          <w:szCs w:val="28"/>
        </w:rPr>
        <w:t>（</w:t>
      </w:r>
      <w:r>
        <w:rPr>
          <w:rFonts w:ascii="仿宋" w:hAnsi="仿宋" w:eastAsia="仿宋"/>
          <w:b/>
          <w:bCs/>
          <w:sz w:val="28"/>
          <w:szCs w:val="28"/>
        </w:rPr>
        <w:t>六）加强内部监督。</w:t>
      </w:r>
    </w:p>
    <w:p>
      <w:pPr>
        <w:spacing w:line="580" w:lineRule="exact"/>
        <w:ind w:firstLine="560" w:firstLineChars="200"/>
        <w:rPr>
          <w:rFonts w:ascii="仿宋" w:hAnsi="仿宋" w:eastAsia="仿宋"/>
          <w:b/>
          <w:bCs/>
          <w:sz w:val="28"/>
          <w:szCs w:val="28"/>
        </w:rPr>
      </w:pPr>
      <w:r>
        <w:rPr>
          <w:rFonts w:ascii="仿宋" w:hAnsi="仿宋" w:eastAsia="仿宋"/>
          <w:sz w:val="28"/>
          <w:szCs w:val="28"/>
        </w:rPr>
        <w:t>加强内部监督制度建设，对绩效运行情况、重大支出决策、对外投资、资产处置及其他重要经济业务事项的决策和执行进行督导，对会计资料进行内部审计，并配合做好审计、财政等</w:t>
      </w:r>
      <w:r>
        <w:rPr>
          <w:rFonts w:hint="eastAsia" w:ascii="仿宋" w:hAnsi="仿宋" w:eastAsia="仿宋"/>
          <w:sz w:val="28"/>
          <w:szCs w:val="28"/>
        </w:rPr>
        <w:t>部门的</w:t>
      </w:r>
      <w:r>
        <w:rPr>
          <w:rFonts w:ascii="仿宋" w:hAnsi="仿宋" w:eastAsia="仿宋"/>
          <w:sz w:val="28"/>
          <w:szCs w:val="28"/>
        </w:rPr>
        <w:t>监督工作，确保</w:t>
      </w:r>
      <w:r>
        <w:rPr>
          <w:rFonts w:hint="eastAsia" w:ascii="仿宋" w:hAnsi="仿宋" w:eastAsia="仿宋"/>
          <w:sz w:val="28"/>
          <w:szCs w:val="28"/>
        </w:rPr>
        <w:t>预算</w:t>
      </w:r>
      <w:r>
        <w:rPr>
          <w:rFonts w:ascii="仿宋" w:hAnsi="仿宋" w:eastAsia="仿宋"/>
          <w:sz w:val="28"/>
          <w:szCs w:val="28"/>
        </w:rPr>
        <w:t>资金安全有效。</w:t>
      </w:r>
    </w:p>
    <w:p>
      <w:pPr>
        <w:spacing w:line="580" w:lineRule="exact"/>
        <w:ind w:firstLine="562" w:firstLineChars="20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七）加强宣传培训调研等。</w:t>
      </w:r>
    </w:p>
    <w:p>
      <w:pPr>
        <w:spacing w:line="580" w:lineRule="exact"/>
        <w:ind w:firstLine="560" w:firstLineChars="200"/>
        <w:rPr>
          <w:rFonts w:ascii="仿宋" w:hAnsi="仿宋" w:eastAsia="仿宋"/>
          <w:b/>
          <w:bCs/>
          <w:sz w:val="28"/>
          <w:szCs w:val="28"/>
        </w:rPr>
      </w:pPr>
      <w:r>
        <w:rPr>
          <w:rFonts w:ascii="仿宋" w:hAnsi="仿宋" w:eastAsia="仿宋"/>
          <w:sz w:val="28"/>
          <w:szCs w:val="28"/>
        </w:rPr>
        <w:t>加强人员培训，提高本部门职工业务素质；加强调研，提出优化财政资金配置、提高资金使用效益的意见；加大宣传力度，强化预算绩效管理意识，促进预算绩效管理水平进一步提升。</w:t>
      </w:r>
    </w:p>
    <w:p>
      <w:pPr>
        <w:spacing w:line="520" w:lineRule="exact"/>
        <w:ind w:firstLine="560" w:firstLineChars="200"/>
        <w:rPr>
          <w:rFonts w:ascii="仿宋" w:hAnsi="仿宋" w:eastAsia="仿宋"/>
          <w:sz w:val="28"/>
          <w:szCs w:val="28"/>
        </w:rPr>
      </w:pPr>
    </w:p>
    <w:p>
      <w:pPr>
        <w:ind w:firstLine="600" w:firstLineChars="200"/>
        <w:rPr>
          <w:rFonts w:ascii="仿宋" w:hAnsi="仿宋" w:eastAsia="仿宋"/>
          <w:sz w:val="30"/>
          <w:szCs w:val="30"/>
        </w:rPr>
      </w:pPr>
    </w:p>
    <w:p>
      <w:pPr>
        <w:ind w:firstLine="602" w:firstLineChars="200"/>
        <w:jc w:val="left"/>
        <w:rPr>
          <w:rFonts w:ascii="仿宋" w:hAnsi="仿宋" w:eastAsia="仿宋" w:cs="宋体"/>
          <w:b/>
          <w:color w:val="000000"/>
          <w:sz w:val="30"/>
          <w:szCs w:val="30"/>
        </w:rPr>
      </w:pPr>
      <w:r>
        <w:rPr>
          <w:rFonts w:hint="eastAsia" w:ascii="仿宋" w:hAnsi="仿宋" w:eastAsia="仿宋" w:cs="宋体"/>
          <w:b/>
          <w:color w:val="000000"/>
          <w:sz w:val="30"/>
          <w:szCs w:val="30"/>
        </w:rPr>
        <w:br w:type="page"/>
      </w:r>
    </w:p>
    <w:p>
      <w:pPr>
        <w:pStyle w:val="2"/>
        <w:jc w:val="center"/>
      </w:pPr>
      <w:r>
        <w:rPr>
          <w:rFonts w:hint="eastAsia"/>
        </w:rPr>
        <w:t>第二部分</w:t>
      </w:r>
    </w:p>
    <w:p>
      <w:pPr>
        <w:jc w:val="center"/>
        <w:rPr>
          <w:b/>
          <w:sz w:val="44"/>
          <w:szCs w:val="44"/>
        </w:rPr>
      </w:pPr>
      <w:r>
        <w:rPr>
          <w:rFonts w:hint="eastAsia"/>
          <w:b/>
          <w:sz w:val="44"/>
          <w:szCs w:val="44"/>
        </w:rPr>
        <w:t>预算项目</w:t>
      </w:r>
      <w:r>
        <w:rPr>
          <w:b/>
          <w:sz w:val="44"/>
          <w:szCs w:val="44"/>
        </w:rPr>
        <w:t>绩效目标</w:t>
      </w:r>
    </w:p>
    <w:p>
      <w:pPr>
        <w:pStyle w:val="2"/>
        <w:spacing w:line="480" w:lineRule="auto"/>
        <w:jc w:val="left"/>
        <w:rPr>
          <w:rFonts w:ascii="宋体" w:hAnsi="宋体" w:eastAsia="宋体" w:cs="宋体"/>
          <w:color w:val="000000"/>
          <w:sz w:val="28"/>
        </w:rPr>
      </w:pPr>
      <w:bookmarkStart w:id="0" w:name="_Toc17849"/>
      <w:r>
        <w:rPr>
          <w:rFonts w:hint="eastAsia" w:ascii="宋体" w:hAnsi="宋体" w:eastAsia="宋体" w:cs="宋体"/>
          <w:color w:val="000000"/>
          <w:sz w:val="28"/>
        </w:rPr>
        <w:t>627002 唐山市交通运输局</w:t>
      </w:r>
      <w:bookmarkEnd w:id="0"/>
    </w:p>
    <w:p>
      <w:r>
        <w:rPr>
          <w:rFonts w:hint="eastAsia"/>
        </w:rPr>
        <w:t>1、</w:t>
      </w:r>
      <w:r>
        <w:t>国</w:t>
      </w:r>
      <w:r>
        <w:rPr>
          <w:rFonts w:hint="eastAsia"/>
        </w:rPr>
        <w:t>省</w:t>
      </w:r>
      <w:r>
        <w:t>干线公路日常养护经费</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项目编码</w:t>
            </w:r>
          </w:p>
        </w:tc>
        <w:tc>
          <w:tcPr>
            <w:tcW w:w="2693"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627002B16DX0001</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项目名称</w:t>
            </w:r>
          </w:p>
        </w:tc>
        <w:tc>
          <w:tcPr>
            <w:tcW w:w="2976"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国省干线公路日常养护经费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项目资金主要用途</w:t>
            </w:r>
          </w:p>
        </w:tc>
        <w:tc>
          <w:tcPr>
            <w:tcW w:w="7229" w:type="dxa"/>
            <w:gridSpan w:val="5"/>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sz w:val="21"/>
                <w:szCs w:val="21"/>
              </w:rPr>
              <w:t>预算数1064万元。其中：财政资金1064万元，其他资金0万元。主要用于国省干线公路日常养护。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资金支出计划(累计进度%)</w:t>
            </w: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第一季度</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第二季度</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第三季度</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291"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40.00</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70.00</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绩效目标</w:t>
            </w:r>
          </w:p>
        </w:tc>
        <w:tc>
          <w:tcPr>
            <w:tcW w:w="7229" w:type="dxa"/>
            <w:gridSpan w:val="5"/>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完成2022年国省干线路日常养护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一级指标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二级指标</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三级指标</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绩效指标描述</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产出指标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数量指标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完成干线公路小修（项）</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完成干线公路小修（项）</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10项</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《河北省省级交通运输部门预算项目支出绩效评价管理办法（试行）》（冀财交【2016】522号）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质量指标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工程完成率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工程完成率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100%</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《河北省省级交通运输部门预算项目支出绩效评价管理办法（试行）》（冀财交【2016】522号）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时效指标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2022年12月31日前</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《河北省省级交通运输部门预算项目支出绩效评价管理办法（试行）》（冀财交【2016】522号）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成本指标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《河北省省级交通运输部门预算项目支出绩效评价管理办法（试行）》（冀财交【2016】522号）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效果指标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经济效益指标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社会效益指标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提高道路畅通情况</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提高道路畅通情况</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≥90%</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《河北省省级交通运输部门预算项目支出绩效评价管理办法（试行）》（冀财交【2016】522号）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生态效益指标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可持续影响指标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满意度指标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服务对象满意度指标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车主满意度</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车主满意度</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90%以上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《河北省省级交通运输部门预算项目支出绩效评价管理办法（试行）》（冀财交【2016】522号）</w:t>
            </w:r>
          </w:p>
        </w:tc>
      </w:tr>
    </w:tbl>
    <w:p/>
    <w:p/>
    <w:p/>
    <w:p>
      <w:pPr>
        <w:rPr>
          <w:rFonts w:hint="eastAsia"/>
        </w:rPr>
      </w:pPr>
      <w:r>
        <w:rPr>
          <w:rFonts w:hint="eastAsia"/>
        </w:rPr>
        <w:br w:type="page"/>
      </w:r>
    </w:p>
    <w:p>
      <w:r>
        <w:rPr>
          <w:rFonts w:hint="eastAsia"/>
        </w:rPr>
        <w:t>2、</w:t>
      </w:r>
      <w:r>
        <w:t>普通国省干线养护工程项目</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项目编码</w:t>
            </w:r>
          </w:p>
        </w:tc>
        <w:tc>
          <w:tcPr>
            <w:tcW w:w="2693"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627002B20DX0020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项目名称</w:t>
            </w:r>
          </w:p>
        </w:tc>
        <w:tc>
          <w:tcPr>
            <w:tcW w:w="2976"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普通国省干线养护工程项目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项目资金主要用途</w:t>
            </w:r>
          </w:p>
        </w:tc>
        <w:tc>
          <w:tcPr>
            <w:tcW w:w="7229" w:type="dxa"/>
            <w:gridSpan w:val="5"/>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sz w:val="21"/>
                <w:szCs w:val="21"/>
              </w:rPr>
              <w:t>预算数3132万元。其中：财政资金3132万元，其他资金0万元。主要用于姜玉线S323姚王庄至迁曹线段修复养护（大中修结合）工程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资金支出计划(累计进度%)</w:t>
            </w: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第一季度</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第二季度</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第三季度</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291"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30.00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60.00</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90.00</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绩效目标</w:t>
            </w:r>
          </w:p>
        </w:tc>
        <w:tc>
          <w:tcPr>
            <w:tcW w:w="7229" w:type="dxa"/>
            <w:gridSpan w:val="5"/>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完成姜玉线S323姚王庄至迁曹线段修复养护（大中修结合）工程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一级指标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二级指标</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三级指标</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绩效指标描述</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产出指标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数量指标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完成国省干线公路养护（条）</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完成国省干线公路养护（条）</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1条</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河北省财政厅关于提前下达2020年成品油价格和税费改革转移支付预算的通知（冀财建【2019】290号）文件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质量指标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工程完成率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工程完成率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100%</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河北省财政厅关于提前下达2020年成品油价格和税费改革转移支付预算的通知（冀财建【2019】290号）文件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时效指标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2022年12月31日前</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河北省财政厅关于提前下达2020年成品油价格和税费改革转移支付预算的通知（冀财建【2019】290号）文件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成本指标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河北省财政厅关于提前下达2020年成品油价格和税费改革转移支付预算的通知（冀财建【2019】290号）文件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效果指标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经济效益指标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社会效益指标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提高道路畅通率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提高道路畅通率（%）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≥90%以上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河北省财政厅关于提前下达2020年成品油价格和税费改革转移支付预算的通知（冀财建【2019】290号）文件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生态效益指标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可持续影响指标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满意度指标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服务对象满意度指标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车主满意度</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车主满意度</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94%以上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河北省财政厅关于提前下达2020年成品油价格和税费改革转移支付预算的通知（冀财建【2019】290号）文件</w:t>
            </w:r>
          </w:p>
        </w:tc>
      </w:tr>
    </w:tbl>
    <w:p/>
    <w:p/>
    <w:p/>
    <w:p/>
    <w:p/>
    <w:p/>
    <w:p/>
    <w:p/>
    <w:p/>
    <w:p/>
    <w:p/>
    <w:p/>
    <w:p/>
    <w:p>
      <w:pPr>
        <w:rPr>
          <w:rFonts w:hint="eastAsia"/>
        </w:rPr>
      </w:pPr>
      <w:r>
        <w:rPr>
          <w:rFonts w:hint="eastAsia"/>
        </w:rPr>
        <w:br w:type="page"/>
      </w:r>
    </w:p>
    <w:p>
      <w:r>
        <w:rPr>
          <w:rFonts w:hint="eastAsia"/>
        </w:rPr>
        <w:t>3、</w:t>
      </w:r>
      <w:r>
        <w:t>绿色减排补贴</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项目编码</w:t>
            </w:r>
          </w:p>
        </w:tc>
        <w:tc>
          <w:tcPr>
            <w:tcW w:w="2693"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627002B21DX0028</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项目名称</w:t>
            </w:r>
          </w:p>
        </w:tc>
        <w:tc>
          <w:tcPr>
            <w:tcW w:w="2976"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绿色减排补贴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项目资金主要用途</w:t>
            </w:r>
          </w:p>
        </w:tc>
        <w:tc>
          <w:tcPr>
            <w:tcW w:w="7229" w:type="dxa"/>
            <w:gridSpan w:val="5"/>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sz w:val="21"/>
                <w:szCs w:val="21"/>
              </w:rPr>
              <w:t>预算数1800万元，其中：财政资金1800万元。主要用于出租车绿色减排补贴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资金支出计划(累计进度%)</w:t>
            </w: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第一季度</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第二季度</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第三季度</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291"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40.00</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70.00</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绩效目标</w:t>
            </w:r>
          </w:p>
        </w:tc>
        <w:tc>
          <w:tcPr>
            <w:tcW w:w="7229" w:type="dxa"/>
            <w:gridSpan w:val="5"/>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完成《唐山市新能源出租汽车推广使用行动方案》本年度任务要求，对个体出租车实行双向选择，搞好宣传、政策带动，积极鼓励个体出租车更新为新能源出租汽车，在全省率先实现出租汽车全部电动化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一级指标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二级指标</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三级指标</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绩效指标描述</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产出指标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数量指标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更换新能源出租车数量</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更换新能源出租车数量</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400辆</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《关于印发&lt;进一步推进新能源出租汽车发展实现绿色出行行动计划（2020-2022年）&gt;的通知》（冀交运［2019］531号）、《唐山市新能源出租汽车推广使用行动方案》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质量指标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《关于印发&lt;进一步推进新能源出租汽车发展实现绿色出行行动计划（2020-2022年）&gt;的通知》（冀交运［2019］531号）、《唐山市新能源出租汽车推广使用行动方案》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时效指标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完成项目时效</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完成项目时效</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2022年12月31日前</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《关于印发&lt;进一步推进新能源出租汽车发展实现绿色出行行动计划（2020-2022年）&gt;的通知》（冀交运［2019］531号）、《唐山市新能源出租汽车推广使用行动方案》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成本指标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《关于印发&lt;进一步推进新能源出租汽车发展实现绿色出行行动计划（2020-2022年）&gt;的通知》（冀交运［2019］531号）、《唐山市新能源出租汽车推广使用行动方案》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效果指标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经济效益指标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减少运营成本</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减少运营燃料成本</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30%</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《关于印发&lt;进一步推进新能源出租汽车发展实现绿色出行行动计划（2020-2022年）&gt;的通知》（冀交运［2019］531号）、《唐山市新能源出租汽车推广使用行动方案》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社会效益指标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生态效益指标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减少尾气排放</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减少尾气排放</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15%</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《关于印发&lt;进一步推进新能源出租汽车发展实现绿色出行行动计划（2020-2022年）&gt;的通知》（冀交运［2019］531号）、《唐山市新能源出租汽车推广使用行动方案》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可持续影响指标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满意度指标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服务对象满意度指标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群众满意度</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群众满意度</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《关于印发&lt;进一步推进新能源出租汽车发展实现绿色出行行动计划（2020-2022年）&gt;的通知》（冀交运［2019］531号）、《唐山市新能源出租汽车推广使用行动方案》</w:t>
            </w:r>
          </w:p>
        </w:tc>
      </w:tr>
    </w:tbl>
    <w:p/>
    <w:p>
      <w:r>
        <w:br w:type="page"/>
      </w:r>
    </w:p>
    <w:p>
      <w:r>
        <w:rPr>
          <w:rFonts w:hint="eastAsia"/>
        </w:rPr>
        <w:t>4、</w:t>
      </w:r>
      <w:r>
        <w:t>唐山市农村公路日常养护市级补助资金</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项目编码</w:t>
            </w:r>
          </w:p>
        </w:tc>
        <w:tc>
          <w:tcPr>
            <w:tcW w:w="2693"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627002B21DX0029</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项目名称</w:t>
            </w:r>
          </w:p>
        </w:tc>
        <w:tc>
          <w:tcPr>
            <w:tcW w:w="2976"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唐山市农村公路日常养护市级补助资金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项目资金主要用途</w:t>
            </w:r>
          </w:p>
        </w:tc>
        <w:tc>
          <w:tcPr>
            <w:tcW w:w="7229" w:type="dxa"/>
            <w:gridSpan w:val="5"/>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sz w:val="21"/>
                <w:szCs w:val="21"/>
              </w:rPr>
              <w:t>预算数1148.98万元。其中：财政资金1148.98万元。主要用于农村公路日常养护。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资金支出计划(累计进度%)</w:t>
            </w: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第一季度</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第二季度</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第三季度</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291"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40.00</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70.00</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绩效目标</w:t>
            </w:r>
          </w:p>
        </w:tc>
        <w:tc>
          <w:tcPr>
            <w:tcW w:w="7229" w:type="dxa"/>
            <w:gridSpan w:val="5"/>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完成唐山市农村公路日常养护市级补助资金的发放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一级指标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二级指标</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三级指标</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绩效指标描述</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产出指标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数量指标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完成农村公路补助里程（公里）</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完成农村公路补助里程（公里）</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17576.179</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《唐山市深化农村公路管理养护体制改革实施方案》（唐政办字【2020】46号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质量指标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100%</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《唐山市深化农村公路管理养护体制改革实施方案》（唐政办字【2020】46号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时效指标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2022年12月31日前</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《唐山市深化农村公路管理养护体制改革实施方案》（唐政办字【2020】46号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成本指标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98%以上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《唐山市深化农村公路管理养护体制改革实施方案》（唐政办字【2020】46号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效果指标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经济效益指标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社会效益指标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保障道路畅通</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县道、乡道、村道道路畅通</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≥90%</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《唐山市深化农村公路管理养护体制改革实施方案》（唐政办字【2020】46号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生态效益指标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可持续影响指标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满意度指标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服务对象满意度指标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群众满意度</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群众满意度</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《唐山市深化农村公路管理养护体制改革实施方案》（唐政办字【2020】46号</w:t>
            </w:r>
          </w:p>
        </w:tc>
      </w:tr>
    </w:tbl>
    <w:p/>
    <w:p/>
    <w:p>
      <w:pPr>
        <w:rPr>
          <w:rFonts w:hint="eastAsia"/>
        </w:rPr>
      </w:pPr>
      <w:r>
        <w:rPr>
          <w:rFonts w:hint="eastAsia"/>
        </w:rPr>
        <w:br w:type="page"/>
      </w:r>
    </w:p>
    <w:p>
      <w:r>
        <w:rPr>
          <w:rFonts w:hint="eastAsia"/>
        </w:rPr>
        <w:t>5、</w:t>
      </w:r>
      <w:r>
        <w:t>中国人民解放军</w:t>
      </w:r>
      <w:r>
        <w:rPr>
          <w:rFonts w:hint="eastAsia"/>
        </w:rPr>
        <w:t>93642部队</w:t>
      </w:r>
      <w:r>
        <w:t>年度例行费用</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项目编码</w:t>
            </w:r>
          </w:p>
        </w:tc>
        <w:tc>
          <w:tcPr>
            <w:tcW w:w="2693"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627002B22DX0030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项目名称</w:t>
            </w:r>
          </w:p>
        </w:tc>
        <w:tc>
          <w:tcPr>
            <w:tcW w:w="2976"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中国人民解放军93642部队年度例行费用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项目资金主要用途</w:t>
            </w:r>
          </w:p>
        </w:tc>
        <w:tc>
          <w:tcPr>
            <w:tcW w:w="7229" w:type="dxa"/>
            <w:gridSpan w:val="5"/>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sz w:val="21"/>
                <w:szCs w:val="21"/>
              </w:rPr>
              <w:t>预算数200万元，其中财政资金200万元。主要用于唐山机场军民合用部分设备设施的维护保养，保证军民航飞机安全起降，并补偿中国人民解放</w:t>
            </w:r>
            <w:r>
              <w:rPr>
                <w:rFonts w:hint="eastAsia" w:ascii="宋体" w:hAnsi="宋体" w:eastAsia="宋体" w:cs="宋体"/>
                <w:sz w:val="21"/>
                <w:szCs w:val="21"/>
                <w:lang w:val="en-US" w:eastAsia="zh-CN"/>
              </w:rPr>
              <w:t>军</w:t>
            </w:r>
            <w:r>
              <w:rPr>
                <w:rFonts w:hint="eastAsia" w:ascii="宋体" w:hAnsi="宋体" w:eastAsia="宋体" w:cs="宋体"/>
                <w:sz w:val="21"/>
                <w:szCs w:val="21"/>
              </w:rPr>
              <w:t>据93642部队因军民合用影响部队飞行训练增加的成本。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资金支出计划(累计进度%)</w:t>
            </w: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第一季度</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第二季度</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第三季度</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291"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25.00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75.00</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绩效目标</w:t>
            </w:r>
          </w:p>
        </w:tc>
        <w:tc>
          <w:tcPr>
            <w:tcW w:w="7229" w:type="dxa"/>
            <w:gridSpan w:val="5"/>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部队与地方和谐共赢，构建唐山立体交通体系，方便百姓出行。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一级指标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二级指标</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三级指标</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绩效指标描述</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产出指标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数量指标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旅客吞吐量（万人次）</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机场进出港旅客人次</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68万人次</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质量指标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工程完成率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工程完成率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100%</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时效指标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2022年12月底前</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成本指标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100%</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效果指标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经济效益指标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经营性收入金额（万元）</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航空性及非航空性经营性收入金额</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2000万元</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社会效益指标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通达城市数（个）</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通达城市个数</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10个</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生态效益指标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可持续影响指标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满意度指标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服务对象满意度指标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服务对象满意度</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旅客对机场服务保障的满意度</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bl>
    <w:p/>
    <w:p/>
    <w:p/>
    <w:p/>
    <w:p>
      <w:r>
        <w:br w:type="page"/>
      </w:r>
    </w:p>
    <w:p>
      <w:r>
        <w:t>6</w:t>
      </w:r>
      <w:r>
        <w:rPr>
          <w:rFonts w:hint="eastAsia"/>
        </w:rPr>
        <w:t>、</w:t>
      </w:r>
      <w:r>
        <w:t>唐山三女河机场航线补贴资金</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项目编码</w:t>
            </w:r>
          </w:p>
        </w:tc>
        <w:tc>
          <w:tcPr>
            <w:tcW w:w="2693"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627002B22DX0031</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项目名称</w:t>
            </w:r>
          </w:p>
        </w:tc>
        <w:tc>
          <w:tcPr>
            <w:tcW w:w="2976"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唐山三女河机场航线补贴资金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项目资金主要用途</w:t>
            </w:r>
          </w:p>
        </w:tc>
        <w:tc>
          <w:tcPr>
            <w:tcW w:w="7229" w:type="dxa"/>
            <w:gridSpan w:val="5"/>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sz w:val="21"/>
                <w:szCs w:val="21"/>
              </w:rPr>
              <w:t>预算数15000万元，其中：财政资金15000万元。主要用于航线开发及运营，并弥补航线运营亏损。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资金支出计划(累计进度%)</w:t>
            </w: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第一季度</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第二季度</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第三季度</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291"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25.00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50.00</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75.00</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绩效目标</w:t>
            </w:r>
          </w:p>
        </w:tc>
        <w:tc>
          <w:tcPr>
            <w:tcW w:w="7229" w:type="dxa"/>
            <w:gridSpan w:val="5"/>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2022全年开通10条航线、开热点航线，完善唐山机场的航线网络建设，积极发挥机场经济功能和社会功能，促进唐山经济发展。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一级指标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二级指标</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三级指标</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绩效指标描述</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产出指标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数量指标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旅客吞吐量（万人次）</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机场进出港旅客人数</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68万人次</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质量指标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100%</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时效指标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2022年12月底前</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成本指标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100%</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效果指标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经济效益指标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经营性收入金额（万元）</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航空性及非航空性收入金额</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2000万元</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社会效益指标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通达城市指标（个）</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通达城市个数</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10个</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生态效益指标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可持续影响指标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满意度指标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服务对象满意度指标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旅客对机场服务满意度</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服务保障的满意率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根据年初工作计划安排</w:t>
            </w:r>
          </w:p>
        </w:tc>
      </w:tr>
    </w:tbl>
    <w:p/>
    <w:p/>
    <w:p>
      <w:r>
        <w:br w:type="page"/>
      </w:r>
    </w:p>
    <w:p>
      <w:r>
        <w:t>7</w:t>
      </w:r>
      <w:r>
        <w:rPr>
          <w:rFonts w:hint="eastAsia"/>
        </w:rPr>
        <w:t>、</w:t>
      </w:r>
      <w:r>
        <w:t>机场扩建项目启动资金</w:t>
      </w:r>
    </w:p>
    <w:tbl>
      <w:tblPr>
        <w:tblStyle w:val="11"/>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276"/>
        <w:gridCol w:w="1417"/>
        <w:gridCol w:w="1560"/>
        <w:gridCol w:w="1559"/>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项目编码</w:t>
            </w:r>
          </w:p>
        </w:tc>
        <w:tc>
          <w:tcPr>
            <w:tcW w:w="2693"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627002B22DX0034</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项目名称</w:t>
            </w:r>
          </w:p>
        </w:tc>
        <w:tc>
          <w:tcPr>
            <w:tcW w:w="3137"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机场扩建项目启动资金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项目资金主要用途</w:t>
            </w:r>
          </w:p>
        </w:tc>
        <w:tc>
          <w:tcPr>
            <w:tcW w:w="7390" w:type="dxa"/>
            <w:gridSpan w:val="5"/>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预算数2000万元，其中：财政资金2000万元。主要用于唐山机场T2航站楼建设前期手续跑办。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资金支出计划(累计进度%)</w:t>
            </w: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第一季度</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第二季度</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第三季度</w:t>
            </w:r>
          </w:p>
        </w:tc>
        <w:tc>
          <w:tcPr>
            <w:tcW w:w="1578"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291"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40.00</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70.00</w:t>
            </w:r>
          </w:p>
        </w:tc>
        <w:tc>
          <w:tcPr>
            <w:tcW w:w="1578"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绩效目标</w:t>
            </w:r>
          </w:p>
        </w:tc>
        <w:tc>
          <w:tcPr>
            <w:tcW w:w="7390" w:type="dxa"/>
            <w:gridSpan w:val="5"/>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完成T2航站楼前期跑办工作。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一级指标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二级指标</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三级指标</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绩效指标描述</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w:t>
            </w:r>
          </w:p>
        </w:tc>
        <w:tc>
          <w:tcPr>
            <w:tcW w:w="1578"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产出指标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数量指标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完成整体规划修编（项）</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完成整体规划修编（项）</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1项</w:t>
            </w:r>
          </w:p>
        </w:tc>
        <w:tc>
          <w:tcPr>
            <w:tcW w:w="1578"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《中共第十一届唐山市委专题会议纪要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质量指标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100%</w:t>
            </w:r>
          </w:p>
        </w:tc>
        <w:tc>
          <w:tcPr>
            <w:tcW w:w="1578"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《中共第十一届唐山市委专题会议纪要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时效指标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项目完成时间</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项目完成时间</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2022年12月31日前</w:t>
            </w:r>
          </w:p>
        </w:tc>
        <w:tc>
          <w:tcPr>
            <w:tcW w:w="1578"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《中共第十一届唐山市委专题会议纪要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成本指标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98%以上</w:t>
            </w:r>
          </w:p>
        </w:tc>
        <w:tc>
          <w:tcPr>
            <w:tcW w:w="1578"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《中共第十一届唐山市委专题会议纪要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效果指标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经济效益指标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78"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社会效益指标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提高旅客吞吐量</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提高旅客吞吐量</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200万人次以上</w:t>
            </w:r>
          </w:p>
        </w:tc>
        <w:tc>
          <w:tcPr>
            <w:tcW w:w="1578"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《中共第十一届唐山市委专题会议纪要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生态效益指标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78"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可持续影响指标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78"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满意度指标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服务对象满意度指标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群众满意度</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群众满意度</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578"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《中共第十一届唐山市委专题会议纪要 》</w:t>
            </w:r>
          </w:p>
        </w:tc>
      </w:tr>
    </w:tbl>
    <w:p/>
    <w:p/>
    <w:p>
      <w:r>
        <w:br w:type="page"/>
      </w:r>
    </w:p>
    <w:p>
      <w:r>
        <w:t>8</w:t>
      </w:r>
      <w:r>
        <w:rPr>
          <w:rFonts w:hint="eastAsia"/>
        </w:rPr>
        <w:t>、</w:t>
      </w:r>
      <w:r>
        <w:t>交通运输基础设施重点项目建设前期费</w:t>
      </w:r>
    </w:p>
    <w:tbl>
      <w:tblPr>
        <w:tblStyle w:val="11"/>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627002B22DX0035</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交通运输基础设施重点项目建设前期费</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sz w:val="21"/>
                <w:szCs w:val="21"/>
              </w:rPr>
              <w:t>预算数3000万元，其中：财政资金3000万元，其他资金0万元。主要用于交通运输基础设施重点项目前期费</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40.00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70.00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完成“双大外环”、唐秦高速建设前期费用的支付</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完成交通重点项目前期建设（项）</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完成前期项目建设（项）</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2项</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市委市政府会议精神</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市委市政府会议精神</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2022年12月31日</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市委市政府会议精神</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市委市政府会议精神</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道路提速情况</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修建道路提速</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增长20%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市委市政府会议精神</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车主满意度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车主满意度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市委市政府会议精神</w:t>
            </w:r>
          </w:p>
        </w:tc>
      </w:tr>
    </w:tbl>
    <w:p/>
    <w:p/>
    <w:p>
      <w:r>
        <w:br w:type="page"/>
      </w:r>
    </w:p>
    <w:p>
      <w:r>
        <w:t>9</w:t>
      </w:r>
      <w:r>
        <w:rPr>
          <w:rFonts w:hint="eastAsia"/>
        </w:rPr>
        <w:t>、</w:t>
      </w:r>
      <w:r>
        <w:t>执法支队卸载场地设备租赁费</w:t>
      </w:r>
    </w:p>
    <w:tbl>
      <w:tblPr>
        <w:tblStyle w:val="11"/>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276"/>
        <w:gridCol w:w="1417"/>
        <w:gridCol w:w="1560"/>
        <w:gridCol w:w="1559"/>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项目编码</w:t>
            </w:r>
          </w:p>
        </w:tc>
        <w:tc>
          <w:tcPr>
            <w:tcW w:w="2693"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627002B22DX0036</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项目名称</w:t>
            </w:r>
          </w:p>
        </w:tc>
        <w:tc>
          <w:tcPr>
            <w:tcW w:w="3332"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执法支队卸载场地设备租赁费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项目资金主要用途</w:t>
            </w:r>
          </w:p>
        </w:tc>
        <w:tc>
          <w:tcPr>
            <w:tcW w:w="7585" w:type="dxa"/>
            <w:gridSpan w:val="5"/>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预算数672万元。其中：财政资金672万元，用于执法支队卸载场地设备租赁费。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资金支出计划(累计进度%)</w:t>
            </w: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第一季度</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第二季度</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第三季度</w:t>
            </w:r>
          </w:p>
        </w:tc>
        <w:tc>
          <w:tcPr>
            <w:tcW w:w="1773"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291"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40.00</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60.00</w:t>
            </w:r>
          </w:p>
        </w:tc>
        <w:tc>
          <w:tcPr>
            <w:tcW w:w="1773"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绩效目标</w:t>
            </w:r>
          </w:p>
        </w:tc>
        <w:tc>
          <w:tcPr>
            <w:tcW w:w="7585" w:type="dxa"/>
            <w:gridSpan w:val="5"/>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完成场地租赁、设备租赁、治超站建设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一级指标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二级指标</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三级指标</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绩效指标描述</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w:t>
            </w:r>
          </w:p>
        </w:tc>
        <w:tc>
          <w:tcPr>
            <w:tcW w:w="1773"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产出指标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数量指标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完成治超站场地租赁</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完成治超站场地租赁（个）</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5</w:t>
            </w:r>
          </w:p>
        </w:tc>
        <w:tc>
          <w:tcPr>
            <w:tcW w:w="1773"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唐山市进一步规范交通运输综合行政执法工作实施方案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质量指标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100%</w:t>
            </w:r>
          </w:p>
        </w:tc>
        <w:tc>
          <w:tcPr>
            <w:tcW w:w="1773"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唐山市进一步规范交通运输综合行政执法工作实施方案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时效指标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项目完成时限</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2022年12月31日前</w:t>
            </w:r>
          </w:p>
        </w:tc>
        <w:tc>
          <w:tcPr>
            <w:tcW w:w="1773"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购置唐山市进一步规范交通运输综合行政执法工作实施方案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成本指标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773"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唐山市进一步规范交通运输综合行政执法工作实施方案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效果指标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经济效益指标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773"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社会效益指标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减少车辆超限超载情况</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减少车辆超限超载情况</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减少10%</w:t>
            </w:r>
          </w:p>
        </w:tc>
        <w:tc>
          <w:tcPr>
            <w:tcW w:w="1773"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唐山市进一步规范交通运输综合行政执法工作实施方案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生态效益指标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773"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可持续影响指标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773"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满意度指标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服务对象满意度指标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群众满意度</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群众满意度</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773"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唐山市进一步规范交通运输综合行政执法工作实施方案</w:t>
            </w:r>
          </w:p>
        </w:tc>
      </w:tr>
    </w:tbl>
    <w:p/>
    <w:p/>
    <w:p>
      <w:r>
        <w:br w:type="page"/>
      </w:r>
    </w:p>
    <w:p>
      <w:r>
        <w:t>10</w:t>
      </w:r>
      <w:r>
        <w:rPr>
          <w:rFonts w:hint="eastAsia"/>
        </w:rPr>
        <w:t>、</w:t>
      </w:r>
      <w:r>
        <w:t>唐山三女河机场消防车车辆购置</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项目编码</w:t>
            </w:r>
          </w:p>
        </w:tc>
        <w:tc>
          <w:tcPr>
            <w:tcW w:w="2693"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627002B22DX0037</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项目名称</w:t>
            </w:r>
          </w:p>
        </w:tc>
        <w:tc>
          <w:tcPr>
            <w:tcW w:w="2976"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唐山三女河机场消防车辆购置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项目资金主要用途</w:t>
            </w:r>
          </w:p>
        </w:tc>
        <w:tc>
          <w:tcPr>
            <w:tcW w:w="7229" w:type="dxa"/>
            <w:gridSpan w:val="5"/>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预算数900万元。其中：财政资金900万元，主要用于泡沫消防车和火场照明车更换。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资金支出计划(累计进度%)</w:t>
            </w: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第一季度</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第二季度</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第三季度</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291" w:type="dxa"/>
            <w:vMerge w:val="continue"/>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p>
        </w:tc>
        <w:tc>
          <w:tcPr>
            <w:tcW w:w="269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20.00</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40.00</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70.00</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1"/>
                <w:szCs w:val="21"/>
              </w:rPr>
            </w:pPr>
            <w:r>
              <w:rPr>
                <w:rFonts w:hint="eastAsia" w:ascii="宋体" w:hAnsi="宋体" w:eastAsia="宋体"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绩效目标</w:t>
            </w:r>
          </w:p>
        </w:tc>
        <w:tc>
          <w:tcPr>
            <w:tcW w:w="7229" w:type="dxa"/>
            <w:gridSpan w:val="5"/>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完成泡沫消防车和火场照明车更换。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一级指标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二级指标</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三级指标</w:t>
            </w:r>
          </w:p>
        </w:tc>
        <w:tc>
          <w:tcPr>
            <w:tcW w:w="1560"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绩效指标描述</w:t>
            </w:r>
          </w:p>
        </w:tc>
        <w:tc>
          <w:tcPr>
            <w:tcW w:w="1559"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w:t>
            </w:r>
          </w:p>
        </w:tc>
        <w:tc>
          <w:tcPr>
            <w:tcW w:w="1417"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产出指标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数量指标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完成车辆更换</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完成车辆更换（辆）</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2辆</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关于下发华北地区民用运输机场超消防保障等级运行专项整治方案的通知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质量指标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项目完成率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关于下发华北地区民用运输机场超消防保障等级运行专项整治方案的通知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时效指标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完成项目的时效</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完成项目的时效</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2022年12月31日前</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关于下发华北地区民用运输机场超消防保障等级运行专项整治方案的通知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成本指标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预算资金完成率</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关于下发华北地区民用运输机场超消防保障等级运行专项整治方案的通知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1291"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效果指标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经济效益指标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社会效益指标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提高火灾应急处置能力</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提高火灾应急处置能力</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作用显著</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关于下发华北地区民用运输机场超消防保障等级运行专项整治方案的通知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生态效益指标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1291" w:type="dxa"/>
            <w:vMerge w:val="continue"/>
            <w:shd w:val="clear" w:color="auto" w:fill="auto"/>
            <w:tcMar>
              <w:top w:w="15" w:type="dxa"/>
              <w:left w:w="15" w:type="dxa"/>
              <w:right w:w="15" w:type="dxa"/>
            </w:tcMar>
            <w:vAlign w:val="center"/>
          </w:tcPr>
          <w:p>
            <w:pPr>
              <w:jc w:val="center"/>
              <w:rPr>
                <w:rFonts w:ascii="宋体" w:hAnsi="宋体" w:eastAsia="宋体" w:cs="宋体"/>
                <w:sz w:val="21"/>
                <w:szCs w:val="21"/>
              </w:rPr>
            </w:pP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可持续影响指标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291"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满意度指标</w:t>
            </w:r>
          </w:p>
        </w:tc>
        <w:tc>
          <w:tcPr>
            <w:tcW w:w="1276" w:type="dxa"/>
            <w:shd w:val="clear" w:color="auto" w:fill="auto"/>
            <w:tcMar>
              <w:top w:w="15" w:type="dxa"/>
              <w:left w:w="15" w:type="dxa"/>
              <w:right w:w="15"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kern w:val="0"/>
                <w:sz w:val="21"/>
                <w:szCs w:val="21"/>
              </w:rPr>
              <w:t>服务对象满意度指标</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群众满意度</w:t>
            </w:r>
          </w:p>
        </w:tc>
        <w:tc>
          <w:tcPr>
            <w:tcW w:w="1560"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群众满意度</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95%以上</w:t>
            </w:r>
          </w:p>
        </w:tc>
        <w:tc>
          <w:tcPr>
            <w:tcW w:w="1417" w:type="dxa"/>
            <w:shd w:val="clear" w:color="auto" w:fill="auto"/>
            <w:tcMar>
              <w:top w:w="15" w:type="dxa"/>
              <w:left w:w="15" w:type="dxa"/>
              <w:right w:w="15" w:type="dxa"/>
            </w:tcMar>
            <w:vAlign w:val="center"/>
          </w:tcPr>
          <w:p>
            <w:pPr>
              <w:widowControl/>
              <w:jc w:val="left"/>
              <w:textAlignment w:val="center"/>
              <w:rPr>
                <w:rFonts w:ascii="宋体" w:hAnsi="宋体" w:eastAsia="宋体" w:cs="宋体"/>
                <w:sz w:val="21"/>
                <w:szCs w:val="21"/>
              </w:rPr>
            </w:pPr>
            <w:r>
              <w:rPr>
                <w:rFonts w:hint="eastAsia" w:ascii="宋体" w:hAnsi="宋体" w:eastAsia="宋体" w:cs="宋体"/>
                <w:kern w:val="0"/>
                <w:sz w:val="21"/>
                <w:szCs w:val="21"/>
              </w:rPr>
              <w:t>关于下发华北地区民用运输机场超消防保障等级运行专项整治方案的通知</w:t>
            </w:r>
          </w:p>
        </w:tc>
      </w:tr>
    </w:tbl>
    <w:p/>
    <w:p/>
    <w:p>
      <w:pPr>
        <w:pStyle w:val="2"/>
        <w:spacing w:line="360" w:lineRule="auto"/>
        <w:jc w:val="left"/>
        <w:rPr>
          <w:rFonts w:ascii="宋体" w:hAnsi="宋体" w:eastAsia="宋体" w:cs="宋体"/>
          <w:color w:val="000000"/>
          <w:sz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FE0DD38-A44C-4D96-ADDA-4622BA8B825C}"/>
  </w:font>
  <w:font w:name="Cambria">
    <w:panose1 w:val="02040503050406030204"/>
    <w:charset w:val="00"/>
    <w:family w:val="modern"/>
    <w:pitch w:val="default"/>
    <w:sig w:usb0="E00006FF" w:usb1="420024FF" w:usb2="02000000" w:usb3="00000000" w:csb0="2000019F" w:csb1="00000000"/>
  </w:font>
  <w:font w:name="楷体">
    <w:panose1 w:val="02010609060101010101"/>
    <w:charset w:val="86"/>
    <w:family w:val="swiss"/>
    <w:pitch w:val="default"/>
    <w:sig w:usb0="800002BF" w:usb1="38CF7CFA" w:usb2="00000016" w:usb3="00000000" w:csb0="00040001" w:csb1="00000000"/>
    <w:embedRegular r:id="rId2" w:fontKey="{80EC6CC9-2188-48F9-89B0-D4878C640BCF}"/>
  </w:font>
  <w:font w:name="仿宋">
    <w:panose1 w:val="02010609060101010101"/>
    <w:charset w:val="86"/>
    <w:family w:val="swiss"/>
    <w:pitch w:val="default"/>
    <w:sig w:usb0="800002BF" w:usb1="38CF7CFA" w:usb2="00000016" w:usb3="00000000" w:csb0="00040001" w:csb1="00000000"/>
    <w:embedRegular r:id="rId3" w:fontKey="{B7627C0E-A06D-4BEA-8E70-3E613249883A}"/>
  </w:font>
  <w:font w:name="方正仿宋简体">
    <w:altName w:val="Arial Unicode MS"/>
    <w:panose1 w:val="02010601030101010101"/>
    <w:charset w:val="86"/>
    <w:family w:val="auto"/>
    <w:pitch w:val="default"/>
    <w:sig w:usb0="00000000" w:usb1="00000000" w:usb2="00000000" w:usb3="00000000" w:csb0="00040000" w:csb1="00000000"/>
    <w:embedRegular r:id="rId4" w:fontKey="{9843F3AF-7E9A-4EB4-93A1-1159C72302E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lNzFlMTQyY2I1MDgzNGZkNmFiMzI3YWUwYTUxOWMifQ=="/>
  </w:docVars>
  <w:rsids>
    <w:rsidRoot w:val="00203A23"/>
    <w:rsid w:val="000177AE"/>
    <w:rsid w:val="00125D71"/>
    <w:rsid w:val="00203A23"/>
    <w:rsid w:val="00241D04"/>
    <w:rsid w:val="00325482"/>
    <w:rsid w:val="00337BF5"/>
    <w:rsid w:val="00361892"/>
    <w:rsid w:val="003659AB"/>
    <w:rsid w:val="0047599C"/>
    <w:rsid w:val="00530DBB"/>
    <w:rsid w:val="00574BE5"/>
    <w:rsid w:val="005B3739"/>
    <w:rsid w:val="005E48F9"/>
    <w:rsid w:val="00620B60"/>
    <w:rsid w:val="006578BC"/>
    <w:rsid w:val="006661DA"/>
    <w:rsid w:val="007A3291"/>
    <w:rsid w:val="007F2D19"/>
    <w:rsid w:val="00907A44"/>
    <w:rsid w:val="00943CE5"/>
    <w:rsid w:val="00982CB5"/>
    <w:rsid w:val="009E3319"/>
    <w:rsid w:val="00A9066D"/>
    <w:rsid w:val="00B80D59"/>
    <w:rsid w:val="00C00F6F"/>
    <w:rsid w:val="00C111B7"/>
    <w:rsid w:val="00C33D26"/>
    <w:rsid w:val="00DF4736"/>
    <w:rsid w:val="00DF7C75"/>
    <w:rsid w:val="00E018FF"/>
    <w:rsid w:val="00E25C9E"/>
    <w:rsid w:val="00EB344E"/>
    <w:rsid w:val="00F6464F"/>
    <w:rsid w:val="00FD0301"/>
    <w:rsid w:val="01ED34D7"/>
    <w:rsid w:val="21984CC5"/>
    <w:rsid w:val="31DE35C8"/>
    <w:rsid w:val="43CE0EDD"/>
    <w:rsid w:val="4F490222"/>
    <w:rsid w:val="5ECC6B97"/>
    <w:rsid w:val="63566541"/>
    <w:rsid w:val="6A846F98"/>
    <w:rsid w:val="79FA6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Document Map"/>
    <w:basedOn w:val="1"/>
    <w:link w:val="24"/>
    <w:autoRedefine/>
    <w:qFormat/>
    <w:uiPriority w:val="0"/>
    <w:rPr>
      <w:rFonts w:ascii="宋体" w:eastAsia="宋体"/>
      <w:sz w:val="18"/>
      <w:szCs w:val="18"/>
    </w:rPr>
  </w:style>
  <w:style w:type="paragraph" w:styleId="5">
    <w:name w:val="Balloon Text"/>
    <w:basedOn w:val="1"/>
    <w:link w:val="23"/>
    <w:autoRedefine/>
    <w:qFormat/>
    <w:uiPriority w:val="0"/>
    <w:rPr>
      <w:sz w:val="18"/>
      <w:szCs w:val="18"/>
    </w:rPr>
  </w:style>
  <w:style w:type="paragraph" w:styleId="6">
    <w:name w:val="footer"/>
    <w:basedOn w:val="1"/>
    <w:link w:val="20"/>
    <w:autoRedefine/>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21"/>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toc 1"/>
    <w:basedOn w:val="1"/>
    <w:next w:val="1"/>
    <w:autoRedefine/>
    <w:qFormat/>
    <w:uiPriority w:val="39"/>
  </w:style>
  <w:style w:type="paragraph" w:styleId="9">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10">
    <w:name w:val="Title"/>
    <w:basedOn w:val="1"/>
    <w:next w:val="1"/>
    <w:link w:val="18"/>
    <w:autoRedefine/>
    <w:qFormat/>
    <w:uiPriority w:val="0"/>
    <w:pPr>
      <w:spacing w:before="240" w:after="60"/>
      <w:jc w:val="center"/>
      <w:outlineLvl w:val="0"/>
    </w:pPr>
    <w:rPr>
      <w:rFonts w:ascii="Cambria" w:hAnsi="Cambria" w:eastAsia="宋体" w:cs="Times New Roman"/>
      <w:b/>
      <w:bCs/>
      <w:sz w:val="32"/>
      <w:szCs w:val="32"/>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99"/>
    <w:rPr>
      <w:rFonts w:asciiTheme="minorHAnsi" w:hAnsiTheme="minorHAnsi" w:eastAsiaTheme="minorEastAsia" w:cstheme="minorBidi"/>
      <w:color w:val="0563C1" w:themeColor="hyperlink"/>
      <w:u w:val="single"/>
      <w:lang w:val="en-US" w:eastAsia="zh-CN" w:bidi="ar-SA"/>
      <w14:textFill>
        <w14:solidFill>
          <w14:schemeClr w14:val="hlink"/>
        </w14:solidFill>
      </w14:textFill>
    </w:rPr>
  </w:style>
  <w:style w:type="character" w:customStyle="1" w:styleId="15">
    <w:name w:val="标题 1 Char"/>
    <w:basedOn w:val="13"/>
    <w:autoRedefine/>
    <w:qFormat/>
    <w:uiPriority w:val="9"/>
    <w:rPr>
      <w:rFonts w:ascii="宋体" w:hAnsi="宋体" w:eastAsia="宋体" w:cs="宋体"/>
      <w:b/>
      <w:bCs/>
      <w:kern w:val="36"/>
      <w:sz w:val="48"/>
      <w:szCs w:val="48"/>
    </w:rPr>
  </w:style>
  <w:style w:type="character" w:customStyle="1" w:styleId="16">
    <w:name w:val="页眉 Char"/>
    <w:autoRedefine/>
    <w:qFormat/>
    <w:uiPriority w:val="99"/>
    <w:rPr>
      <w:rFonts w:ascii="Calibri" w:hAnsi="Calibri" w:eastAsia="宋体" w:cs="Times New Roman"/>
      <w:kern w:val="2"/>
      <w:sz w:val="18"/>
      <w:szCs w:val="18"/>
      <w:lang w:val="en-US" w:eastAsia="zh-CN" w:bidi="ar-SA"/>
    </w:rPr>
  </w:style>
  <w:style w:type="character" w:customStyle="1" w:styleId="17">
    <w:name w:val="页脚 Char"/>
    <w:autoRedefine/>
    <w:qFormat/>
    <w:uiPriority w:val="99"/>
    <w:rPr>
      <w:rFonts w:ascii="Calibri" w:hAnsi="Calibri" w:eastAsia="宋体" w:cs="Times New Roman"/>
      <w:kern w:val="2"/>
      <w:sz w:val="18"/>
      <w:szCs w:val="18"/>
      <w:lang w:val="en-US" w:eastAsia="zh-CN" w:bidi="ar-SA"/>
    </w:rPr>
  </w:style>
  <w:style w:type="character" w:customStyle="1" w:styleId="18">
    <w:name w:val="标题 Char"/>
    <w:link w:val="10"/>
    <w:autoRedefine/>
    <w:qFormat/>
    <w:uiPriority w:val="10"/>
    <w:rPr>
      <w:rFonts w:ascii="Cambria" w:hAnsi="Cambria" w:eastAsia="宋体" w:cs="Times New Roman"/>
      <w:b/>
      <w:bCs/>
      <w:sz w:val="32"/>
      <w:szCs w:val="32"/>
      <w:lang w:val="en-US" w:eastAsia="zh-CN" w:bidi="ar-SA"/>
    </w:rPr>
  </w:style>
  <w:style w:type="character" w:customStyle="1" w:styleId="19">
    <w:name w:val="标题 1 Char1"/>
    <w:link w:val="2"/>
    <w:autoRedefine/>
    <w:qFormat/>
    <w:uiPriority w:val="9"/>
    <w:rPr>
      <w:rFonts w:ascii="宋体" w:hAnsi="宋体" w:eastAsia="宋体" w:cs="宋体"/>
      <w:b/>
      <w:bCs/>
      <w:kern w:val="36"/>
      <w:sz w:val="48"/>
      <w:szCs w:val="48"/>
      <w:lang w:val="en-US" w:eastAsia="zh-CN" w:bidi="ar-SA"/>
    </w:rPr>
  </w:style>
  <w:style w:type="character" w:customStyle="1" w:styleId="20">
    <w:name w:val="页脚 Char1"/>
    <w:link w:val="6"/>
    <w:autoRedefine/>
    <w:qFormat/>
    <w:uiPriority w:val="99"/>
    <w:rPr>
      <w:rFonts w:ascii="Calibri" w:hAnsi="Calibri" w:eastAsia="宋体" w:cs="Times New Roman"/>
      <w:sz w:val="18"/>
      <w:szCs w:val="18"/>
      <w:lang w:val="en-US" w:eastAsia="zh-CN" w:bidi="ar-SA"/>
    </w:rPr>
  </w:style>
  <w:style w:type="character" w:customStyle="1" w:styleId="21">
    <w:name w:val="页眉 Char1"/>
    <w:link w:val="7"/>
    <w:autoRedefine/>
    <w:qFormat/>
    <w:uiPriority w:val="99"/>
    <w:rPr>
      <w:rFonts w:ascii="Calibri" w:hAnsi="Calibri" w:eastAsia="宋体" w:cs="Times New Roman"/>
      <w:sz w:val="18"/>
      <w:szCs w:val="18"/>
      <w:lang w:val="en-US" w:eastAsia="zh-CN" w:bidi="ar-SA"/>
    </w:rPr>
  </w:style>
  <w:style w:type="paragraph" w:customStyle="1" w:styleId="22">
    <w:name w:val="列出段落1"/>
    <w:basedOn w:val="1"/>
    <w:autoRedefine/>
    <w:unhideWhenUsed/>
    <w:qFormat/>
    <w:uiPriority w:val="99"/>
    <w:pPr>
      <w:ind w:firstLine="420" w:firstLineChars="200"/>
    </w:pPr>
  </w:style>
  <w:style w:type="character" w:customStyle="1" w:styleId="23">
    <w:name w:val="批注框文本 Char"/>
    <w:basedOn w:val="13"/>
    <w:link w:val="5"/>
    <w:autoRedefine/>
    <w:qFormat/>
    <w:uiPriority w:val="0"/>
    <w:rPr>
      <w:rFonts w:asciiTheme="minorHAnsi" w:hAnsiTheme="minorHAnsi" w:eastAsiaTheme="minorEastAsia" w:cstheme="minorBidi"/>
      <w:sz w:val="18"/>
      <w:szCs w:val="18"/>
      <w:lang w:val="en-US" w:eastAsia="zh-CN" w:bidi="ar-SA"/>
    </w:rPr>
  </w:style>
  <w:style w:type="character" w:customStyle="1" w:styleId="24">
    <w:name w:val="文档结构图 Char"/>
    <w:basedOn w:val="13"/>
    <w:link w:val="4"/>
    <w:autoRedefine/>
    <w:qFormat/>
    <w:uiPriority w:val="0"/>
    <w:rPr>
      <w:rFonts w:ascii="宋体" w:eastAsia="宋体" w:hAnsiTheme="minorHAnsi" w:cstheme="minorBidi"/>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AA263-A53C-4BF3-9AE7-2F56F40B839E}">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24</Pages>
  <Words>7293</Words>
  <Characters>8094</Characters>
  <Lines>66</Lines>
  <Paragraphs>18</Paragraphs>
  <TotalTime>0</TotalTime>
  <ScaleCrop>false</ScaleCrop>
  <LinksUpToDate>false</LinksUpToDate>
  <CharactersWithSpaces>8216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2021-12-29T07:30:00Z</dcterms:created>
  <dc:creator>Mr.許</dc:creator>
  <cp:lastModifiedBy>素颜的流星</cp:lastModifiedBy>
  <cp:lastPrinted>2021-12-30T01:44:00Z</cp:lastPrinted>
  <dcterms:modified xsi:type="dcterms:W3CDTF">2024-01-12T08:02:20Z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C781EF50868D4B71953206726BB9A420_13</vt:lpwstr>
  </property>
</Properties>
</file>