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0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 xml:space="preserve">附件 </w:t>
      </w:r>
      <w:r>
        <w:rPr>
          <w:rFonts w:hint="eastAsia" w:ascii="宋体"/>
          <w:color w:val="auto"/>
          <w:sz w:val="24"/>
          <w:szCs w:val="24"/>
          <w:highlight w:val="none"/>
        </w:rPr>
        <w:t>资格审查条件</w:t>
      </w:r>
    </w:p>
    <w:p>
      <w:pPr>
        <w:rPr>
          <w:rFonts w:ascii="宋体"/>
          <w:b/>
          <w:color w:val="auto"/>
          <w:sz w:val="24"/>
          <w:szCs w:val="24"/>
          <w:highlight w:val="none"/>
        </w:rPr>
      </w:pPr>
      <w:bookmarkStart w:id="2" w:name="_GoBack"/>
      <w:bookmarkEnd w:id="2"/>
      <w:bookmarkStart w:id="0" w:name="_Toc448082053"/>
      <w:bookmarkStart w:id="1" w:name="_Toc428772328"/>
    </w:p>
    <w:bookmarkEnd w:id="0"/>
    <w:bookmarkEnd w:id="1"/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ascii="宋体" w:hAnsi="宋体"/>
          <w:b/>
          <w:color w:val="auto"/>
          <w:sz w:val="24"/>
          <w:szCs w:val="24"/>
          <w:highlight w:val="none"/>
        </w:rPr>
        <w:t>附录1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 xml:space="preserve">  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资格审查条件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(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资质最低条件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)</w:t>
      </w:r>
    </w:p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</w:p>
    <w:tbl>
      <w:tblPr>
        <w:tblStyle w:val="4"/>
        <w:tblW w:w="7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6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00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申请人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具备有效的营业执照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具备工程勘察专业类工程测量甲级资质或工程勘察专业类岩土工程（勘察）甲级资质；</w:t>
            </w:r>
          </w:p>
          <w:p>
            <w:pPr>
              <w:spacing w:line="240" w:lineRule="auto"/>
              <w:ind w:firstLine="420" w:firstLineChars="20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同时具备公路行业（公路）专业设计甲级资质。</w:t>
            </w:r>
          </w:p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注：勘察综合甲级资质满足勘察资质要求，设计综合甲级资质满足设计资质要求，公路行业设计甲级资质满足设计资质要求。勘察综合甲级资质、设计综合甲级资质和公路行业设计甲级资质，本项目被认定为最低条件以上的资质。</w:t>
            </w:r>
          </w:p>
        </w:tc>
      </w:tr>
    </w:tbl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ascii="宋体" w:hAnsi="宋体"/>
          <w:b/>
          <w:color w:val="auto"/>
          <w:sz w:val="24"/>
          <w:szCs w:val="24"/>
          <w:highlight w:val="none"/>
        </w:rPr>
        <w:t>附录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 xml:space="preserve">2  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资格审查条件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(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业绩最低要求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)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 xml:space="preserve"> </w:t>
      </w:r>
    </w:p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</w:p>
    <w:tbl>
      <w:tblPr>
        <w:tblStyle w:val="4"/>
        <w:tblW w:w="7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7606" w:type="dxa"/>
            <w:vAlign w:val="center"/>
          </w:tcPr>
          <w:p>
            <w:pPr>
              <w:adjustRightInd w:val="0"/>
              <w:snapToGrid w:val="0"/>
              <w:ind w:left="-105" w:leftChars="-50" w:right="-78" w:rightChars="-37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606" w:type="dxa"/>
            <w:vAlign w:val="center"/>
          </w:tcPr>
          <w:p>
            <w:pPr>
              <w:spacing w:line="240" w:lineRule="auto"/>
              <w:ind w:firstLine="420" w:firstLineChars="20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人近5年内（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2018年8月1日</w:t>
            </w:r>
            <w:r>
              <w:rPr>
                <w:color w:val="auto"/>
                <w:sz w:val="21"/>
                <w:szCs w:val="21"/>
                <w:highlight w:val="none"/>
              </w:rPr>
              <w:t>至今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color w:val="auto"/>
                <w:sz w:val="21"/>
                <w:szCs w:val="21"/>
                <w:highlight w:val="none"/>
              </w:rPr>
              <w:t>以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合同签订日期</w:t>
            </w:r>
            <w:r>
              <w:rPr>
                <w:color w:val="auto"/>
                <w:sz w:val="21"/>
                <w:szCs w:val="21"/>
                <w:highlight w:val="none"/>
              </w:rPr>
              <w:t>为准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），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承担过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1项二级及以上等级公路工程勘察设计工作业绩。</w:t>
            </w:r>
          </w:p>
          <w:p>
            <w:pPr>
              <w:jc w:val="left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注：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人若以联合体形式的业绩，业绩应提供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人负责公路工程勘察设计的证明，否则不予认可。</w:t>
            </w:r>
          </w:p>
        </w:tc>
      </w:tr>
    </w:tbl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ascii="宋体" w:hAnsi="宋体"/>
          <w:b/>
          <w:color w:val="auto"/>
          <w:sz w:val="24"/>
          <w:szCs w:val="24"/>
          <w:highlight w:val="none"/>
        </w:rPr>
        <w:t>附录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3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 xml:space="preserve">  资格审查条件(信誉最低要求)</w:t>
      </w:r>
    </w:p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</w:p>
    <w:tbl>
      <w:tblPr>
        <w:tblStyle w:val="4"/>
        <w:tblW w:w="7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7549" w:type="dxa"/>
            <w:vAlign w:val="center"/>
          </w:tcPr>
          <w:p>
            <w:pPr>
              <w:adjustRightInd w:val="0"/>
              <w:snapToGrid w:val="0"/>
              <w:ind w:left="-105" w:leftChars="-50" w:right="-78" w:rightChars="-37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549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人在近1年（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2022年8月1日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至今）中不曾在公路工程勘察设计项目中违约而被驱逐或因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人自身的原因而使公路工程勘察设计合同被解除。</w:t>
            </w:r>
          </w:p>
        </w:tc>
      </w:tr>
    </w:tbl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ascii="宋体" w:hAnsi="宋体"/>
          <w:b/>
          <w:color w:val="auto"/>
          <w:sz w:val="24"/>
          <w:szCs w:val="24"/>
          <w:highlight w:val="none"/>
        </w:rPr>
        <w:t>附录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4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 xml:space="preserve">  资格审查条件(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主要人员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最低要求)</w:t>
      </w:r>
    </w:p>
    <w:p>
      <w:pPr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</w:p>
    <w:tbl>
      <w:tblPr>
        <w:tblStyle w:val="4"/>
        <w:tblW w:w="75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733"/>
        <w:gridCol w:w="53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78" w:rightChars="-37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人员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78" w:rightChars="-37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5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78" w:rightChars="-37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资格要求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项目负责人</w:t>
            </w:r>
          </w:p>
        </w:tc>
        <w:tc>
          <w:tcPr>
            <w:tcW w:w="7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高级工程师，近5年内（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2018年8月1日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至今，以合同签订日期为准）作为项目负责人或项目经理或技术负责人承担过1项二级及以上等级公路工程勘察设计工作。</w:t>
            </w:r>
          </w:p>
        </w:tc>
      </w:tr>
    </w:tbl>
    <w:p>
      <w:pPr>
        <w:adjustRightInd w:val="0"/>
        <w:spacing w:line="400" w:lineRule="exact"/>
        <w:jc w:val="center"/>
        <w:rPr>
          <w:rFonts w:hint="eastAsia" w:ascii="宋体" w:hAnsi="宋体"/>
          <w:b/>
          <w:color w:val="auto"/>
          <w:sz w:val="24"/>
          <w:szCs w:val="24"/>
          <w:highlight w:val="none"/>
        </w:rPr>
      </w:pPr>
    </w:p>
    <w:p>
      <w:pPr>
        <w:adjustRightInd w:val="0"/>
        <w:spacing w:line="400" w:lineRule="exact"/>
        <w:jc w:val="center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附录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 xml:space="preserve"> 资格审查条件（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要求）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7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ind w:firstLine="0"/>
              <w:contextualSpacing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highlight w:val="none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678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1、申请人须为小型企业或微型企业或残疾人福利性单位或监狱企业。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2、具有良好的财务状况报告、依法缴纳税收和依法缴纳社会保障资金的承诺函。</w:t>
            </w:r>
          </w:p>
        </w:tc>
      </w:tr>
    </w:tbl>
    <w:p>
      <w:pPr>
        <w:widowControl/>
        <w:jc w:val="center"/>
        <w:rPr>
          <w:rFonts w:ascii="宋体" w:hAnsi="宋体"/>
          <w:b/>
          <w:snapToGrid w:val="0"/>
          <w:color w:val="auto"/>
          <w:spacing w:val="8"/>
          <w:kern w:val="0"/>
          <w:sz w:val="32"/>
          <w:highlight w:val="none"/>
        </w:rPr>
      </w:pPr>
    </w:p>
    <w:p/>
    <w:sectPr>
      <w:pgSz w:w="11906" w:h="16838"/>
      <w:pgMar w:top="56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I5NWE3YzMwZTFhYTNkN2RlOTQxZTQ2ZWZmNmUifQ=="/>
  </w:docVars>
  <w:rsids>
    <w:rsidRoot w:val="00000000"/>
    <w:rsid w:val="728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2023-08-18T03:02:20Z</dcterms:created>
  <dc:creator>Administrator</dc:creator>
  <cp:lastModifiedBy>昕</cp:lastModifiedBy>
  <dcterms:modified xsi:type="dcterms:W3CDTF">2023-08-18T03:02:40Z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81288E9BF403493B952D173CC71E3265_12</vt:lpwstr>
  </property>
</Properties>
</file>